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3C3079EB"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6B0695">
        <w:rPr>
          <w:rFonts w:ascii="Arial" w:eastAsia="Calibri" w:hAnsi="Arial" w:cs="Arial"/>
          <w:b/>
          <w:sz w:val="24"/>
          <w:szCs w:val="24"/>
          <w:lang w:val="es-ES"/>
        </w:rPr>
        <w:t xml:space="preserve">veintiséis </w:t>
      </w:r>
      <w:r w:rsidR="00B36261">
        <w:rPr>
          <w:rFonts w:ascii="Arial" w:eastAsia="Calibri" w:hAnsi="Arial" w:cs="Arial"/>
          <w:b/>
          <w:sz w:val="24"/>
          <w:szCs w:val="24"/>
          <w:lang w:val="es-ES"/>
        </w:rPr>
        <w:t>de junio</w:t>
      </w:r>
      <w:r w:rsidR="00936A2C" w:rsidRPr="00E06ACB">
        <w:rPr>
          <w:rFonts w:ascii="Arial" w:eastAsia="Calibri" w:hAnsi="Arial" w:cs="Arial"/>
          <w:b/>
          <w:sz w:val="24"/>
          <w:szCs w:val="24"/>
          <w:lang w:val="es-ES"/>
        </w:rPr>
        <w:t xml:space="preserve">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6B0695">
        <w:rPr>
          <w:rFonts w:ascii="Arial" w:eastAsia="Calibri" w:hAnsi="Arial" w:cs="Arial"/>
          <w:b/>
          <w:bCs/>
          <w:sz w:val="24"/>
          <w:szCs w:val="24"/>
          <w:lang w:val="es-ES"/>
        </w:rPr>
        <w:t>505</w:t>
      </w:r>
      <w:r w:rsidR="00687F08" w:rsidRPr="00B73A09">
        <w:rPr>
          <w:rFonts w:ascii="Arial" w:eastAsia="Calibri" w:hAnsi="Arial" w:cs="Arial"/>
          <w:b/>
          <w:bCs/>
          <w:sz w:val="24"/>
          <w:szCs w:val="24"/>
          <w:lang w:val="es-ES"/>
        </w:rPr>
        <w:t>/20</w:t>
      </w:r>
      <w:r w:rsidR="00610639" w:rsidRPr="00B73A09">
        <w:rPr>
          <w:rFonts w:ascii="Arial" w:eastAsia="Calibri" w:hAnsi="Arial" w:cs="Arial"/>
          <w:b/>
          <w:bCs/>
          <w:sz w:val="24"/>
          <w:szCs w:val="24"/>
          <w:lang w:val="es-ES"/>
        </w:rPr>
        <w:t>2</w:t>
      </w:r>
      <w:r w:rsidR="006B0695">
        <w:rPr>
          <w:rFonts w:ascii="Arial" w:eastAsia="Calibri" w:hAnsi="Arial" w:cs="Arial"/>
          <w:b/>
          <w:bCs/>
          <w:sz w:val="24"/>
          <w:szCs w:val="24"/>
          <w:lang w:val="es-ES"/>
        </w:rPr>
        <w:t>1</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675733B5" w14:textId="546F1703" w:rsidR="00990942" w:rsidRDefault="00161C4D" w:rsidP="00990942">
      <w:pPr>
        <w:tabs>
          <w:tab w:val="left" w:pos="8172"/>
        </w:tabs>
        <w:spacing w:after="0" w:line="360" w:lineRule="auto"/>
        <w:jc w:val="both"/>
        <w:rPr>
          <w:rFonts w:ascii="Arial" w:eastAsia="Calibri" w:hAnsi="Arial" w:cs="Arial"/>
          <w:sz w:val="24"/>
          <w:szCs w:val="24"/>
          <w:lang w:val="es-ES"/>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6B0695">
        <w:rPr>
          <w:rFonts w:ascii="Arial" w:eastAsia="Calibri" w:hAnsi="Arial" w:cs="Arial"/>
          <w:b/>
          <w:sz w:val="24"/>
          <w:szCs w:val="24"/>
        </w:rPr>
        <w:t xml:space="preserve">VEINTISEIS </w:t>
      </w:r>
      <w:r w:rsidR="00740DEE" w:rsidRPr="00E06ACB">
        <w:rPr>
          <w:rFonts w:ascii="Arial" w:eastAsia="Calibri" w:hAnsi="Arial" w:cs="Arial"/>
          <w:b/>
          <w:sz w:val="24"/>
          <w:szCs w:val="24"/>
        </w:rPr>
        <w:t xml:space="preserve">DE </w:t>
      </w:r>
      <w:r w:rsidR="00B36261">
        <w:rPr>
          <w:rFonts w:ascii="Arial" w:eastAsia="Calibri" w:hAnsi="Arial" w:cs="Arial"/>
          <w:b/>
          <w:sz w:val="24"/>
          <w:szCs w:val="24"/>
        </w:rPr>
        <w:t>JUNIO</w:t>
      </w:r>
      <w:r w:rsidR="00936A2C">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w:t>
      </w:r>
      <w:r w:rsidR="00A7216A">
        <w:rPr>
          <w:rFonts w:ascii="Arial" w:eastAsia="Calibri" w:hAnsi="Arial" w:cs="Arial"/>
          <w:sz w:val="24"/>
          <w:szCs w:val="24"/>
          <w:lang w:val="es-ES"/>
        </w:rPr>
        <w:t xml:space="preserve"> </w:t>
      </w:r>
      <w:r w:rsidR="00B36261">
        <w:rPr>
          <w:rFonts w:ascii="Arial" w:eastAsia="Calibri" w:hAnsi="Arial" w:cs="Arial"/>
          <w:sz w:val="24"/>
          <w:szCs w:val="24"/>
          <w:lang w:val="es-ES"/>
        </w:rPr>
        <w:t>- - - -</w:t>
      </w:r>
      <w:r>
        <w:rPr>
          <w:rFonts w:ascii="Arial" w:eastAsia="Calibri" w:hAnsi="Arial" w:cs="Arial"/>
          <w:sz w:val="24"/>
          <w:szCs w:val="24"/>
          <w:lang w:val="es-ES"/>
        </w:rPr>
        <w:t xml:space="preserve">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B36261">
        <w:rPr>
          <w:rFonts w:ascii="Arial" w:eastAsia="Calibri" w:hAnsi="Arial" w:cs="Arial"/>
          <w:sz w:val="24"/>
          <w:szCs w:val="24"/>
        </w:rPr>
        <w:t xml:space="preserve"> </w:t>
      </w:r>
      <w:r w:rsidR="00990942">
        <w:rPr>
          <w:rFonts w:ascii="Arial" w:eastAsia="Calibri" w:hAnsi="Arial" w:cs="Arial"/>
          <w:b/>
          <w:sz w:val="24"/>
          <w:szCs w:val="24"/>
        </w:rPr>
        <w:t>**** **** **** ****</w:t>
      </w:r>
      <w:r w:rsidR="006B0695">
        <w:rPr>
          <w:rFonts w:ascii="Arial" w:eastAsia="Calibri" w:hAnsi="Arial" w:cs="Arial"/>
          <w:sz w:val="24"/>
          <w:szCs w:val="24"/>
        </w:rPr>
        <w:t xml:space="preserve">, en su carácter de representante legal de </w:t>
      </w:r>
      <w:r w:rsidR="006B0695">
        <w:rPr>
          <w:rFonts w:ascii="Arial" w:eastAsia="Calibri" w:hAnsi="Arial" w:cs="Arial"/>
          <w:b/>
          <w:sz w:val="24"/>
          <w:szCs w:val="24"/>
        </w:rPr>
        <w:t xml:space="preserve">CADENA COMERCIAL OXXO, SOCIEDAD ANÓNIMA DE CAPITAL VARIABLE, </w:t>
      </w:r>
      <w:r w:rsidR="00B36261">
        <w:rPr>
          <w:rFonts w:ascii="Arial" w:eastAsia="Calibri" w:hAnsi="Arial" w:cs="Arial"/>
          <w:sz w:val="24"/>
          <w:szCs w:val="24"/>
        </w:rPr>
        <w:t xml:space="preserve">en contra del </w:t>
      </w:r>
      <w:r w:rsidR="006B0695">
        <w:rPr>
          <w:rFonts w:ascii="Arial" w:eastAsia="Calibri" w:hAnsi="Arial" w:cs="Arial"/>
          <w:b/>
          <w:sz w:val="24"/>
          <w:szCs w:val="24"/>
        </w:rPr>
        <w:t>JEFE DE LA UNIDAD DE CONTROL SANITARIO  EN GUAYMAS, SONORA, DEPENDIENTE DE LA COMISIÓN ESTATAL DE PROTECCIÓN  CONTRA RIESGOS SANITARIOS DEL ESTADO</w:t>
      </w:r>
      <w:r w:rsidR="00E70A59" w:rsidRPr="00E70A59">
        <w:rPr>
          <w:rFonts w:ascii="Arial" w:eastAsia="Calibri" w:hAnsi="Arial" w:cs="Arial"/>
          <w:b/>
          <w:sz w:val="24"/>
          <w:szCs w:val="24"/>
        </w:rPr>
        <w:t>,</w:t>
      </w:r>
      <w:r w:rsidR="00B1244A" w:rsidRPr="00B73A09">
        <w:rPr>
          <w:rFonts w:ascii="Arial" w:eastAsia="Calibri" w:hAnsi="Arial" w:cs="Arial"/>
          <w:sz w:val="24"/>
          <w:szCs w:val="24"/>
        </w:rPr>
        <w:t xml:space="preserve">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 - - - - - - - </w:t>
      </w:r>
      <w:r w:rsidR="00B1244A">
        <w:rPr>
          <w:rFonts w:ascii="Arial" w:eastAsia="Calibri" w:hAnsi="Arial" w:cs="Arial"/>
          <w:sz w:val="24"/>
          <w:szCs w:val="24"/>
        </w:rPr>
        <w:t xml:space="preserve">- - - - </w:t>
      </w:r>
      <w:r w:rsidR="009D42E8">
        <w:rPr>
          <w:rFonts w:ascii="Arial" w:eastAsia="Calibri" w:hAnsi="Arial" w:cs="Arial"/>
          <w:sz w:val="24"/>
          <w:szCs w:val="24"/>
          <w:lang w:val="es-ES"/>
        </w:rPr>
        <w:t xml:space="preserve">- </w:t>
      </w:r>
      <w:r w:rsidR="00E70A59">
        <w:rPr>
          <w:rFonts w:ascii="Arial" w:eastAsia="Calibri" w:hAnsi="Arial" w:cs="Arial"/>
          <w:sz w:val="24"/>
          <w:szCs w:val="24"/>
          <w:lang w:val="es-ES"/>
        </w:rPr>
        <w:t xml:space="preserve">- - - - - - - - - - - - - - - - - - - - - - - - - - - - - - - - - - </w:t>
      </w:r>
      <w:r w:rsidR="00990942">
        <w:rPr>
          <w:rFonts w:ascii="Arial" w:eastAsia="Calibri" w:hAnsi="Arial" w:cs="Arial"/>
          <w:sz w:val="24"/>
          <w:szCs w:val="24"/>
          <w:lang w:val="es-ES"/>
        </w:rPr>
        <w:t xml:space="preserve">- - - - - - - - </w:t>
      </w:r>
    </w:p>
    <w:p w14:paraId="2EA8A529" w14:textId="32183771" w:rsidR="00990942" w:rsidRDefault="00E70A59" w:rsidP="00990942">
      <w:pPr>
        <w:tabs>
          <w:tab w:val="left" w:pos="8172"/>
        </w:tabs>
        <w:spacing w:after="0" w:line="360" w:lineRule="auto"/>
        <w:jc w:val="both"/>
        <w:rPr>
          <w:rFonts w:ascii="Arial" w:eastAsia="Calibri" w:hAnsi="Arial" w:cs="Arial"/>
          <w:sz w:val="24"/>
          <w:szCs w:val="24"/>
        </w:rPr>
      </w:pPr>
      <w:r>
        <w:rPr>
          <w:rFonts w:ascii="Arial" w:eastAsia="Calibri" w:hAnsi="Arial" w:cs="Arial"/>
          <w:sz w:val="24"/>
          <w:szCs w:val="24"/>
          <w:lang w:val="es-ES"/>
        </w:rPr>
        <w:t xml:space="preserve">- - - </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6F3205">
        <w:rPr>
          <w:rFonts w:ascii="Arial" w:eastAsia="Calibri" w:hAnsi="Arial" w:cs="Arial"/>
          <w:sz w:val="24"/>
          <w:szCs w:val="24"/>
        </w:rPr>
        <w:t xml:space="preserve">noventa y </w:t>
      </w:r>
      <w:r w:rsidR="00B1244A">
        <w:rPr>
          <w:rFonts w:ascii="Arial" w:eastAsia="Calibri" w:hAnsi="Arial" w:cs="Arial"/>
          <w:sz w:val="24"/>
          <w:szCs w:val="24"/>
        </w:rPr>
        <w:t>siete</w:t>
      </w:r>
      <w:r w:rsidR="00687F08" w:rsidRPr="00F4367A">
        <w:rPr>
          <w:rFonts w:ascii="Arial" w:eastAsia="Calibri" w:hAnsi="Arial" w:cs="Arial"/>
          <w:sz w:val="24"/>
          <w:szCs w:val="24"/>
        </w:rPr>
        <w:t>,</w:t>
      </w:r>
      <w:r w:rsidR="00687F08">
        <w:rPr>
          <w:rFonts w:ascii="Arial" w:eastAsia="Calibri" w:hAnsi="Arial" w:cs="Arial"/>
          <w:sz w:val="24"/>
          <w:szCs w:val="24"/>
        </w:rPr>
        <w:t xml:space="preserve">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B1244A">
        <w:rPr>
          <w:rFonts w:ascii="Arial" w:eastAsia="Calibri" w:hAnsi="Arial" w:cs="Arial"/>
          <w:sz w:val="24"/>
          <w:szCs w:val="24"/>
          <w:u w:val="single"/>
        </w:rPr>
        <w:t xml:space="preserve">auto de fecha </w:t>
      </w:r>
      <w:r w:rsidR="006F3205">
        <w:rPr>
          <w:rFonts w:ascii="Arial" w:eastAsia="Calibri" w:hAnsi="Arial" w:cs="Arial"/>
          <w:sz w:val="24"/>
          <w:szCs w:val="24"/>
          <w:u w:val="single"/>
        </w:rPr>
        <w:t xml:space="preserve">seis de febrero </w:t>
      </w:r>
      <w:r w:rsidR="00B36261">
        <w:rPr>
          <w:rFonts w:ascii="Arial" w:eastAsia="Calibri" w:hAnsi="Arial" w:cs="Arial"/>
          <w:sz w:val="24"/>
          <w:szCs w:val="24"/>
          <w:u w:val="single"/>
        </w:rPr>
        <w:t>de</w:t>
      </w:r>
      <w:r w:rsidR="00E45DBD" w:rsidRPr="00E06ACB">
        <w:rPr>
          <w:rFonts w:ascii="Arial" w:eastAsia="Calibri" w:hAnsi="Arial" w:cs="Arial"/>
          <w:sz w:val="24"/>
          <w:szCs w:val="24"/>
          <w:u w:val="single"/>
        </w:rPr>
        <w:t xml:space="preserve"> dos mil </w:t>
      </w:r>
      <w:r w:rsidR="00DC16CB">
        <w:rPr>
          <w:rFonts w:ascii="Arial" w:eastAsia="Calibri" w:hAnsi="Arial" w:cs="Arial"/>
          <w:sz w:val="24"/>
          <w:szCs w:val="24"/>
          <w:u w:val="single"/>
        </w:rPr>
        <w:t>veinti</w:t>
      </w:r>
      <w:r w:rsidR="006F3205">
        <w:rPr>
          <w:rFonts w:ascii="Arial" w:eastAsia="Calibri" w:hAnsi="Arial" w:cs="Arial"/>
          <w:sz w:val="24"/>
          <w:szCs w:val="24"/>
          <w:u w:val="single"/>
        </w:rPr>
        <w:t>cuatro</w:t>
      </w:r>
      <w:r w:rsidR="00E45DBD" w:rsidRPr="00E06ACB">
        <w:rPr>
          <w:rFonts w:ascii="Arial" w:eastAsia="Calibri" w:hAnsi="Arial" w:cs="Arial"/>
          <w:sz w:val="24"/>
          <w:szCs w:val="24"/>
        </w:rPr>
        <w:t>,</w:t>
      </w:r>
      <w:r w:rsidR="00FE25B7">
        <w:rPr>
          <w:rFonts w:ascii="Arial" w:eastAsia="Calibri" w:hAnsi="Arial" w:cs="Arial"/>
          <w:sz w:val="24"/>
          <w:szCs w:val="24"/>
        </w:rPr>
        <w:t xml:space="preserve"> (f. </w:t>
      </w:r>
      <w:r w:rsidR="006F3205">
        <w:rPr>
          <w:rFonts w:ascii="Arial" w:eastAsia="Calibri" w:hAnsi="Arial" w:cs="Arial"/>
          <w:sz w:val="24"/>
          <w:szCs w:val="24"/>
        </w:rPr>
        <w:t>97</w:t>
      </w:r>
      <w:r w:rsidR="00FE25B7">
        <w:rPr>
          <w:rFonts w:ascii="Arial" w:eastAsia="Calibri" w:hAnsi="Arial" w:cs="Arial"/>
          <w:sz w:val="24"/>
          <w:szCs w:val="24"/>
        </w:rPr>
        <w:t>)</w:t>
      </w:r>
      <w:r w:rsidR="008654A4">
        <w:rPr>
          <w:rFonts w:ascii="Arial" w:eastAsia="Calibri" w:hAnsi="Arial" w:cs="Arial"/>
          <w:sz w:val="24"/>
          <w:szCs w:val="24"/>
        </w:rPr>
        <w:t xml:space="preserve"> </w:t>
      </w:r>
      <w:r w:rsidR="008654A4" w:rsidRPr="00FC7033">
        <w:rPr>
          <w:rFonts w:ascii="Arial" w:eastAsia="Calibri" w:hAnsi="Arial" w:cs="Arial"/>
          <w:sz w:val="24"/>
          <w:szCs w:val="24"/>
        </w:rPr>
        <w:t xml:space="preserve">mediante el cual </w:t>
      </w:r>
      <w:r w:rsidR="00433320" w:rsidRPr="00FC7033">
        <w:rPr>
          <w:rFonts w:ascii="Arial" w:eastAsia="Calibri" w:hAnsi="Arial" w:cs="Arial"/>
          <w:sz w:val="24"/>
          <w:szCs w:val="24"/>
        </w:rPr>
        <w:t>se</w:t>
      </w:r>
      <w:r w:rsidR="00B1244A" w:rsidRPr="00FC7033">
        <w:rPr>
          <w:rFonts w:ascii="Arial" w:eastAsia="Calibri" w:hAnsi="Arial" w:cs="Arial"/>
          <w:sz w:val="24"/>
          <w:szCs w:val="24"/>
        </w:rPr>
        <w:t xml:space="preserve"> </w:t>
      </w:r>
      <w:r w:rsidR="006F3205">
        <w:rPr>
          <w:rFonts w:ascii="Arial" w:eastAsia="Calibri" w:hAnsi="Arial" w:cs="Arial"/>
          <w:sz w:val="24"/>
          <w:szCs w:val="24"/>
        </w:rPr>
        <w:t>difirió la audiencia y señaló nueva fecha para la celebración de la audiencia de pruebas y alegatos</w:t>
      </w:r>
      <w:r w:rsidR="007D2BD8" w:rsidRPr="00FC7033">
        <w:rPr>
          <w:rFonts w:ascii="Arial" w:eastAsia="Calibri" w:hAnsi="Arial" w:cs="Arial"/>
          <w:sz w:val="24"/>
          <w:szCs w:val="24"/>
        </w:rPr>
        <w:t>,</w:t>
      </w:r>
      <w:r w:rsidR="00245338">
        <w:rPr>
          <w:rFonts w:ascii="Arial" w:eastAsia="Calibri" w:hAnsi="Arial" w:cs="Arial"/>
          <w:sz w:val="24"/>
          <w:szCs w:val="24"/>
        </w:rPr>
        <w:t xml:space="preserve"> fue el último acto procesal que consta en el presente juicio, siendo preciso señalar que</w:t>
      </w:r>
      <w:r w:rsidR="004E3976">
        <w:rPr>
          <w:rFonts w:ascii="Arial" w:eastAsia="Calibri" w:hAnsi="Arial" w:cs="Arial"/>
          <w:sz w:val="24"/>
          <w:szCs w:val="24"/>
        </w:rPr>
        <w:t>,</w:t>
      </w:r>
      <w:r w:rsidR="00245338">
        <w:rPr>
          <w:rFonts w:ascii="Arial" w:eastAsia="Calibri" w:hAnsi="Arial" w:cs="Arial"/>
          <w:sz w:val="24"/>
          <w:szCs w:val="24"/>
        </w:rPr>
        <w:t xml:space="preserve"> con antelación al referido acuerdo</w:t>
      </w:r>
      <w:r w:rsidR="004E3976">
        <w:rPr>
          <w:rFonts w:ascii="Arial" w:eastAsia="Calibri" w:hAnsi="Arial" w:cs="Arial"/>
          <w:sz w:val="24"/>
          <w:szCs w:val="24"/>
        </w:rPr>
        <w:t>,</w:t>
      </w:r>
      <w:r w:rsidR="00245338">
        <w:rPr>
          <w:rFonts w:ascii="Arial" w:eastAsia="Calibri" w:hAnsi="Arial" w:cs="Arial"/>
          <w:sz w:val="24"/>
          <w:szCs w:val="24"/>
        </w:rPr>
        <w:t xml:space="preserve"> </w:t>
      </w:r>
      <w:r w:rsidR="00245338">
        <w:rPr>
          <w:rFonts w:ascii="Arial" w:eastAsia="Calibri" w:hAnsi="Arial" w:cs="Arial"/>
          <w:sz w:val="24"/>
          <w:szCs w:val="24"/>
        </w:rPr>
        <w:lastRenderedPageBreak/>
        <w:t>obra glosado al expediente</w:t>
      </w:r>
      <w:r w:rsidR="00FE25B7">
        <w:rPr>
          <w:rFonts w:ascii="Arial" w:eastAsia="Calibri" w:hAnsi="Arial" w:cs="Arial"/>
          <w:sz w:val="24"/>
          <w:szCs w:val="24"/>
        </w:rPr>
        <w:t xml:space="preserve"> </w:t>
      </w:r>
      <w:r w:rsidR="00FE25B7" w:rsidRPr="00215DB4">
        <w:rPr>
          <w:rFonts w:ascii="Arial" w:eastAsia="Calibri" w:hAnsi="Arial" w:cs="Arial"/>
          <w:sz w:val="24"/>
          <w:szCs w:val="24"/>
          <w:u w:val="single"/>
        </w:rPr>
        <w:t xml:space="preserve">acuerdo de </w:t>
      </w:r>
      <w:r w:rsidR="006F3205">
        <w:rPr>
          <w:rFonts w:ascii="Arial" w:eastAsia="Calibri" w:hAnsi="Arial" w:cs="Arial"/>
          <w:sz w:val="24"/>
          <w:szCs w:val="24"/>
          <w:u w:val="single"/>
        </w:rPr>
        <w:t xml:space="preserve">veintiocho de noviembre </w:t>
      </w:r>
      <w:r w:rsidR="00FE25B7" w:rsidRPr="00215DB4">
        <w:rPr>
          <w:rFonts w:ascii="Arial" w:eastAsia="Calibri" w:hAnsi="Arial" w:cs="Arial"/>
          <w:sz w:val="24"/>
          <w:szCs w:val="24"/>
          <w:u w:val="single"/>
        </w:rPr>
        <w:t>de dos mil veintitrés</w:t>
      </w:r>
      <w:r w:rsidR="00FE25B7">
        <w:rPr>
          <w:rFonts w:ascii="Arial" w:eastAsia="Calibri" w:hAnsi="Arial" w:cs="Arial"/>
          <w:sz w:val="24"/>
          <w:szCs w:val="24"/>
        </w:rPr>
        <w:t xml:space="preserve"> (f. </w:t>
      </w:r>
      <w:r w:rsidR="006F3205">
        <w:rPr>
          <w:rFonts w:ascii="Arial" w:eastAsia="Calibri" w:hAnsi="Arial" w:cs="Arial"/>
          <w:sz w:val="24"/>
          <w:szCs w:val="24"/>
        </w:rPr>
        <w:t>9</w:t>
      </w:r>
      <w:r w:rsidR="00FE25B7">
        <w:rPr>
          <w:rFonts w:ascii="Arial" w:eastAsia="Calibri" w:hAnsi="Arial" w:cs="Arial"/>
          <w:sz w:val="24"/>
          <w:szCs w:val="24"/>
        </w:rPr>
        <w:t xml:space="preserve">6), mediante el cual se </w:t>
      </w:r>
      <w:r w:rsidR="006F3205">
        <w:rPr>
          <w:rFonts w:ascii="Arial" w:eastAsia="Calibri" w:hAnsi="Arial" w:cs="Arial"/>
          <w:sz w:val="24"/>
          <w:szCs w:val="24"/>
        </w:rPr>
        <w:t>señaló fecha para la celebración de la audiencia de pruebas y alegatos</w:t>
      </w:r>
      <w:r w:rsidR="00433320" w:rsidRPr="00FC7033">
        <w:rPr>
          <w:rFonts w:ascii="Arial" w:eastAsia="Calibri" w:hAnsi="Arial" w:cs="Arial"/>
          <w:sz w:val="24"/>
          <w:szCs w:val="24"/>
        </w:rPr>
        <w:t>.</w:t>
      </w:r>
      <w:r w:rsidR="00D25B91" w:rsidRPr="00FC7033">
        <w:rPr>
          <w:rFonts w:ascii="Arial" w:eastAsia="Calibri" w:hAnsi="Arial" w:cs="Arial"/>
          <w:sz w:val="24"/>
          <w:szCs w:val="24"/>
        </w:rPr>
        <w:t>- -</w:t>
      </w:r>
      <w:r w:rsidR="00F4367A" w:rsidRPr="00FC7033">
        <w:rPr>
          <w:rFonts w:ascii="Arial" w:eastAsia="Calibri" w:hAnsi="Arial" w:cs="Arial"/>
          <w:sz w:val="24"/>
          <w:szCs w:val="24"/>
        </w:rPr>
        <w:t xml:space="preserve"> -</w:t>
      </w:r>
      <w:r w:rsidR="00B1244A" w:rsidRPr="00FC7033">
        <w:rPr>
          <w:rFonts w:ascii="Arial" w:eastAsia="Calibri" w:hAnsi="Arial" w:cs="Arial"/>
          <w:sz w:val="24"/>
          <w:szCs w:val="24"/>
        </w:rPr>
        <w:t xml:space="preserve"> - - - - -</w:t>
      </w:r>
      <w:r w:rsidR="00B1244A">
        <w:rPr>
          <w:rFonts w:ascii="Arial" w:eastAsia="Calibri" w:hAnsi="Arial" w:cs="Arial"/>
          <w:sz w:val="24"/>
          <w:szCs w:val="24"/>
        </w:rPr>
        <w:t xml:space="preserve"> - - - - - - - -</w:t>
      </w:r>
      <w:r w:rsidR="00A7216A">
        <w:rPr>
          <w:rFonts w:ascii="Arial" w:eastAsia="Calibri" w:hAnsi="Arial" w:cs="Arial"/>
          <w:sz w:val="24"/>
          <w:szCs w:val="24"/>
        </w:rPr>
        <w:t xml:space="preserve"> - - - - - - - - - - - - - - - - - - - - </w:t>
      </w:r>
      <w:r w:rsidR="006F3205">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6F3205">
        <w:rPr>
          <w:rFonts w:ascii="Arial" w:eastAsia="Calibri" w:hAnsi="Arial" w:cs="Arial"/>
          <w:sz w:val="24"/>
          <w:szCs w:val="24"/>
          <w:u w:val="single"/>
        </w:rPr>
        <w:t xml:space="preserve">seis de febrero </w:t>
      </w:r>
      <w:r w:rsidR="00433320">
        <w:rPr>
          <w:rFonts w:ascii="Arial" w:eastAsia="Calibri" w:hAnsi="Arial" w:cs="Arial"/>
          <w:sz w:val="24"/>
          <w:szCs w:val="24"/>
          <w:u w:val="single"/>
        </w:rPr>
        <w:t xml:space="preserve">de </w:t>
      </w:r>
      <w:r w:rsidR="003F76CF" w:rsidRPr="00E06ACB">
        <w:rPr>
          <w:rFonts w:ascii="Arial" w:eastAsia="Calibri" w:hAnsi="Arial" w:cs="Arial"/>
          <w:sz w:val="24"/>
          <w:szCs w:val="24"/>
          <w:u w:val="single"/>
        </w:rPr>
        <w:t xml:space="preserve">dos mil </w:t>
      </w:r>
      <w:r w:rsidR="00873559" w:rsidRPr="00E06ACB">
        <w:rPr>
          <w:rFonts w:ascii="Arial" w:eastAsia="Calibri" w:hAnsi="Arial" w:cs="Arial"/>
          <w:sz w:val="24"/>
          <w:szCs w:val="24"/>
          <w:u w:val="single"/>
        </w:rPr>
        <w:t>veint</w:t>
      </w:r>
      <w:r w:rsidR="006F3205">
        <w:rPr>
          <w:rFonts w:ascii="Arial" w:eastAsia="Calibri" w:hAnsi="Arial" w:cs="Arial"/>
          <w:sz w:val="24"/>
          <w:szCs w:val="24"/>
          <w:u w:val="single"/>
        </w:rPr>
        <w:t xml:space="preserve">icuatro </w:t>
      </w:r>
      <w:r w:rsidR="003F76CF" w:rsidRPr="00E06ACB">
        <w:rPr>
          <w:rFonts w:ascii="Arial" w:eastAsia="Calibri" w:hAnsi="Arial" w:cs="Arial"/>
          <w:sz w:val="24"/>
          <w:szCs w:val="24"/>
          <w:u w:val="single"/>
        </w:rPr>
        <w:t xml:space="preserve">al </w:t>
      </w:r>
      <w:r w:rsidR="006F3205">
        <w:rPr>
          <w:rFonts w:ascii="Arial" w:eastAsia="Calibri" w:hAnsi="Arial" w:cs="Arial"/>
          <w:sz w:val="24"/>
          <w:szCs w:val="24"/>
          <w:u w:val="single"/>
        </w:rPr>
        <w:t xml:space="preserve">veinticinco </w:t>
      </w:r>
      <w:r w:rsidR="00B36261">
        <w:rPr>
          <w:rFonts w:ascii="Arial" w:eastAsia="Calibri" w:hAnsi="Arial" w:cs="Arial"/>
          <w:sz w:val="24"/>
          <w:szCs w:val="24"/>
          <w:u w:val="single"/>
        </w:rPr>
        <w:t>de junio</w:t>
      </w:r>
      <w:r w:rsidR="00740DEE" w:rsidRPr="00E06ACB">
        <w:rPr>
          <w:rFonts w:ascii="Arial" w:eastAsia="Calibri" w:hAnsi="Arial" w:cs="Arial"/>
          <w:sz w:val="24"/>
          <w:szCs w:val="24"/>
          <w:u w:val="single"/>
        </w:rPr>
        <w:t xml:space="preserve">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6A5CE9">
        <w:rPr>
          <w:rFonts w:ascii="Arial" w:eastAsia="Calibri" w:hAnsi="Arial" w:cs="Arial"/>
          <w:b/>
          <w:bCs/>
          <w:sz w:val="24"/>
          <w:szCs w:val="24"/>
          <w:u w:val="single"/>
        </w:rPr>
        <w:t xml:space="preserve">ciento cuarenta </w:t>
      </w:r>
      <w:r w:rsidR="00B36261">
        <w:rPr>
          <w:rFonts w:ascii="Arial" w:eastAsia="Calibri" w:hAnsi="Arial" w:cs="Arial"/>
          <w:b/>
          <w:bCs/>
          <w:sz w:val="24"/>
          <w:szCs w:val="24"/>
          <w:u w:val="single"/>
        </w:rPr>
        <w:t>días</w:t>
      </w:r>
      <w:r w:rsidR="003F76CF" w:rsidRPr="001C4456">
        <w:rPr>
          <w:rFonts w:ascii="Arial" w:eastAsia="Calibri" w:hAnsi="Arial" w:cs="Arial"/>
          <w:b/>
          <w:bCs/>
          <w:sz w:val="24"/>
          <w:szCs w:val="24"/>
          <w:u w:val="single"/>
        </w:rPr>
        <w:t xml:space="preserve"> (</w:t>
      </w:r>
      <w:r w:rsidR="006A5CE9">
        <w:rPr>
          <w:rFonts w:ascii="Arial" w:eastAsia="Calibri" w:hAnsi="Arial" w:cs="Arial"/>
          <w:b/>
          <w:bCs/>
          <w:sz w:val="24"/>
          <w:szCs w:val="24"/>
          <w:u w:val="single"/>
        </w:rPr>
        <w:t>140</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6A5CE9">
        <w:rPr>
          <w:rFonts w:ascii="Arial" w:eastAsia="Calibri" w:hAnsi="Arial" w:cs="Arial"/>
          <w:sz w:val="24"/>
          <w:szCs w:val="24"/>
        </w:rPr>
        <w:t xml:space="preserve">o autoridad demanda </w:t>
      </w:r>
      <w:r w:rsidR="00E45DBD" w:rsidRPr="00CB6809">
        <w:rPr>
          <w:rFonts w:ascii="Arial" w:eastAsia="Calibri" w:hAnsi="Arial" w:cs="Arial"/>
          <w:sz w:val="24"/>
          <w:szCs w:val="24"/>
        </w:rPr>
        <w:t>haya</w:t>
      </w:r>
      <w:r w:rsidR="006A5CE9">
        <w:rPr>
          <w:rFonts w:ascii="Arial" w:eastAsia="Calibri" w:hAnsi="Arial" w:cs="Arial"/>
          <w:sz w:val="24"/>
          <w:szCs w:val="24"/>
        </w:rPr>
        <w:t>n</w:t>
      </w:r>
      <w:r w:rsidR="00E45DBD" w:rsidRPr="00CB6809">
        <w:rPr>
          <w:rFonts w:ascii="Arial" w:eastAsia="Calibri" w:hAnsi="Arial" w:cs="Arial"/>
          <w:sz w:val="24"/>
          <w:szCs w:val="24"/>
        </w:rPr>
        <w:t xml:space="preserve">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990942">
        <w:rPr>
          <w:rFonts w:ascii="Arial" w:eastAsia="Calibri" w:hAnsi="Arial" w:cs="Arial"/>
          <w:b/>
          <w:sz w:val="24"/>
          <w:szCs w:val="24"/>
        </w:rPr>
        <w:t>**** **** **** ****</w:t>
      </w:r>
      <w:r w:rsidR="006A5CE9">
        <w:rPr>
          <w:rFonts w:ascii="Arial" w:eastAsia="Calibri" w:hAnsi="Arial" w:cs="Arial"/>
          <w:sz w:val="24"/>
          <w:szCs w:val="24"/>
        </w:rPr>
        <w:t xml:space="preserve">, en su carácter de representante legal de </w:t>
      </w:r>
      <w:r w:rsidR="006A5CE9">
        <w:rPr>
          <w:rFonts w:ascii="Arial" w:eastAsia="Calibri" w:hAnsi="Arial" w:cs="Arial"/>
          <w:b/>
          <w:sz w:val="24"/>
          <w:szCs w:val="24"/>
        </w:rPr>
        <w:t xml:space="preserve">CADENA COMERCIAL OXXO, SOCIEDAD ANÓNIMA DE CAPITAL VARIABLE, </w:t>
      </w:r>
      <w:r w:rsidR="006A5CE9">
        <w:rPr>
          <w:rFonts w:ascii="Arial" w:eastAsia="Calibri" w:hAnsi="Arial" w:cs="Arial"/>
          <w:sz w:val="24"/>
          <w:szCs w:val="24"/>
        </w:rPr>
        <w:t xml:space="preserve">y de la autoridad demandada </w:t>
      </w:r>
      <w:r w:rsidR="006A5CE9">
        <w:rPr>
          <w:rFonts w:ascii="Arial" w:eastAsia="Calibri" w:hAnsi="Arial" w:cs="Arial"/>
          <w:b/>
          <w:sz w:val="24"/>
          <w:szCs w:val="24"/>
        </w:rPr>
        <w:t>JEFE DE LA UNIDAD DE CONTROL SANITARIO  EN GUAYMAS, SONORA, DEPENDIENTE DE LA COMISIÓN ESTATAL DE PROTECCIÓN  CONTRA RIESGOS SANITARIOS DEL ESTADO</w:t>
      </w:r>
      <w:r w:rsidR="00B36261">
        <w:rPr>
          <w:rFonts w:ascii="Arial" w:eastAsia="Calibri" w:hAnsi="Arial" w:cs="Arial"/>
          <w:b/>
          <w:bCs/>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p>
    <w:p w14:paraId="492751EC" w14:textId="458C33B6" w:rsidR="0077682B" w:rsidRPr="00B36261" w:rsidRDefault="00DE1EEC" w:rsidP="00990942">
      <w:pPr>
        <w:tabs>
          <w:tab w:val="left" w:pos="8172"/>
        </w:tabs>
        <w:spacing w:after="0" w:line="360" w:lineRule="auto"/>
        <w:jc w:val="both"/>
        <w:rPr>
          <w:rFonts w:ascii="Arial" w:eastAsia="Calibri" w:hAnsi="Arial" w:cs="Arial"/>
          <w:b/>
          <w:sz w:val="24"/>
          <w:szCs w:val="24"/>
        </w:rPr>
      </w:pPr>
      <w:r>
        <w:rPr>
          <w:rFonts w:ascii="Arial" w:eastAsia="Calibri" w:hAnsi="Arial" w:cs="Arial"/>
          <w:sz w:val="24"/>
          <w:szCs w:val="24"/>
        </w:rPr>
        <w:t>- - -</w:t>
      </w:r>
      <w:r w:rsidR="00E06ACB">
        <w:rPr>
          <w:rFonts w:ascii="Arial" w:eastAsia="Calibri" w:hAnsi="Arial" w:cs="Arial"/>
          <w:sz w:val="24"/>
          <w:szCs w:val="24"/>
        </w:rPr>
        <w:t xml:space="preserve"> </w:t>
      </w:r>
      <w:bookmarkEnd w:id="1"/>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35054633" w:rsidR="0077682B" w:rsidRPr="00DE1E40" w:rsidRDefault="0077682B" w:rsidP="00936A2C">
            <w:pPr>
              <w:jc w:val="center"/>
              <w:rPr>
                <w:b/>
              </w:rPr>
            </w:pPr>
            <w:r w:rsidRPr="00DE1E40">
              <w:rPr>
                <w:b/>
              </w:rPr>
              <w:t xml:space="preserve">Días transcurridos al </w:t>
            </w:r>
            <w:r w:rsidR="006A5CE9">
              <w:rPr>
                <w:b/>
              </w:rPr>
              <w:t>25</w:t>
            </w:r>
            <w:r w:rsidR="0010551C">
              <w:rPr>
                <w:b/>
              </w:rPr>
              <w:t xml:space="preserve"> </w:t>
            </w:r>
            <w:r w:rsidR="00B36261">
              <w:rPr>
                <w:b/>
              </w:rPr>
              <w:t>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39B13F3D" w:rsidR="0077682B" w:rsidRPr="00DE1E40" w:rsidRDefault="006A5CE9" w:rsidP="00D10E49">
            <w:pPr>
              <w:jc w:val="center"/>
              <w:rPr>
                <w:bCs/>
                <w:sz w:val="22"/>
                <w:szCs w:val="22"/>
              </w:rPr>
            </w:pPr>
            <w:r>
              <w:rPr>
                <w:bCs/>
                <w:sz w:val="22"/>
                <w:szCs w:val="22"/>
              </w:rPr>
              <w:t>06 de febrero de 2024</w:t>
            </w:r>
          </w:p>
        </w:tc>
        <w:tc>
          <w:tcPr>
            <w:tcW w:w="2091" w:type="dxa"/>
          </w:tcPr>
          <w:p w14:paraId="659CD813" w14:textId="1A717F6B" w:rsidR="0077682B" w:rsidRPr="00DE1E40" w:rsidRDefault="00E70A59" w:rsidP="006A5CE9">
            <w:pPr>
              <w:jc w:val="center"/>
              <w:rPr>
                <w:sz w:val="22"/>
                <w:szCs w:val="22"/>
              </w:rPr>
            </w:pPr>
            <w:r>
              <w:rPr>
                <w:sz w:val="22"/>
                <w:szCs w:val="22"/>
              </w:rPr>
              <w:t xml:space="preserve"> </w:t>
            </w:r>
            <w:r w:rsidR="006A5CE9">
              <w:rPr>
                <w:sz w:val="22"/>
                <w:szCs w:val="22"/>
              </w:rPr>
              <w:t>16</w:t>
            </w:r>
            <w:r w:rsidR="00B1244A">
              <w:rPr>
                <w:sz w:val="22"/>
                <w:szCs w:val="22"/>
              </w:rPr>
              <w:t xml:space="preserve"> de </w:t>
            </w:r>
            <w:r w:rsidR="006A5CE9">
              <w:rPr>
                <w:sz w:val="22"/>
                <w:szCs w:val="22"/>
              </w:rPr>
              <w:t xml:space="preserve">mayo </w:t>
            </w:r>
            <w:r w:rsidR="00D10E49">
              <w:rPr>
                <w:sz w:val="22"/>
                <w:szCs w:val="22"/>
              </w:rPr>
              <w:t xml:space="preserve">de </w:t>
            </w:r>
            <w:r w:rsidR="006A5CE9">
              <w:rPr>
                <w:sz w:val="22"/>
                <w:szCs w:val="22"/>
              </w:rPr>
              <w:t>2024</w:t>
            </w:r>
          </w:p>
        </w:tc>
        <w:tc>
          <w:tcPr>
            <w:tcW w:w="1990" w:type="dxa"/>
          </w:tcPr>
          <w:p w14:paraId="4D1A348E" w14:textId="534839C9" w:rsidR="0077682B" w:rsidRPr="00DE1E40" w:rsidRDefault="00D10E49" w:rsidP="006A5CE9">
            <w:pPr>
              <w:jc w:val="center"/>
              <w:rPr>
                <w:sz w:val="22"/>
                <w:szCs w:val="22"/>
              </w:rPr>
            </w:pPr>
            <w:r>
              <w:rPr>
                <w:sz w:val="22"/>
                <w:szCs w:val="22"/>
              </w:rPr>
              <w:t xml:space="preserve"> </w:t>
            </w:r>
            <w:r w:rsidR="006A5CE9">
              <w:rPr>
                <w:sz w:val="22"/>
                <w:szCs w:val="22"/>
              </w:rPr>
              <w:t xml:space="preserve">17 de mayo </w:t>
            </w:r>
            <w:r w:rsidR="00B73A09">
              <w:rPr>
                <w:sz w:val="22"/>
                <w:szCs w:val="22"/>
              </w:rPr>
              <w:t>de</w:t>
            </w:r>
            <w:r>
              <w:rPr>
                <w:sz w:val="22"/>
                <w:szCs w:val="22"/>
              </w:rPr>
              <w:t xml:space="preserve"> </w:t>
            </w:r>
            <w:r w:rsidR="006A5CE9">
              <w:rPr>
                <w:sz w:val="22"/>
                <w:szCs w:val="22"/>
              </w:rPr>
              <w:t>2024</w:t>
            </w:r>
          </w:p>
        </w:tc>
        <w:tc>
          <w:tcPr>
            <w:tcW w:w="2551" w:type="dxa"/>
          </w:tcPr>
          <w:p w14:paraId="015F1BC2" w14:textId="0BBEB80E" w:rsidR="0077682B" w:rsidRPr="00DE1E40" w:rsidRDefault="006A5CE9" w:rsidP="009958B3">
            <w:pPr>
              <w:jc w:val="center"/>
              <w:rPr>
                <w:sz w:val="22"/>
                <w:szCs w:val="22"/>
              </w:rPr>
            </w:pPr>
            <w:r>
              <w:rPr>
                <w:sz w:val="22"/>
                <w:szCs w:val="22"/>
              </w:rPr>
              <w:t>140</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87705FD" w14:textId="72345051" w:rsidR="00B869C9" w:rsidRDefault="002B1CBE"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4D3298">
        <w:rPr>
          <w:rFonts w:ascii="Arial" w:eastAsia="Calibri" w:hAnsi="Arial" w:cs="Arial"/>
          <w:sz w:val="24"/>
          <w:szCs w:val="24"/>
          <w:lang w:val="es-ES"/>
        </w:rPr>
        <w:t xml:space="preserve">- - - En ese orden de ideas, cabe señalar que, a diferencia de otras legislaciones </w:t>
      </w:r>
      <w:r w:rsidR="004D3298">
        <w:rPr>
          <w:rFonts w:ascii="Arial" w:eastAsia="Calibri" w:hAnsi="Arial" w:cs="Arial"/>
          <w:sz w:val="24"/>
          <w:szCs w:val="24"/>
          <w:lang w:val="es-ES"/>
        </w:rPr>
        <w:lastRenderedPageBreak/>
        <w:t xml:space="preserve">en las existe la figura o institución jurídica denominada “caducidad de la instancia” como en el Código de Procedimientos Civiles para el Estado de Sonora (aplicado supletoriamente a la Ley de Justicia Administrativa para el Estado de Sonora) o el Código de Comercio; la ley de materia prevé la causal de sobreseimiento por una inactividad general del proceso, situación que aunque tiene un efecto similar o equivalente a la caducidad, en realidad comprende supuestos y elementos distintos, por lo que no puede decirse que la llamada caducidad pueda hacerse extensiva a la ley administrativa estadual, pues además de no ser compatible, la supletoriedad considerada para el código procesal civil no puede llegar al grado de variar una regulación concreta que no encuentra deficiencia en su conformación pues la Ley de Justicia Administrativa dispone en el multicitado artículo 87 [fracción V] que el sobreseimiento cuando </w:t>
      </w:r>
      <w:r w:rsidR="004D3298" w:rsidRPr="00CF6DA5">
        <w:rPr>
          <w:rFonts w:ascii="Arial" w:eastAsia="Calibri" w:hAnsi="Arial" w:cs="Arial"/>
          <w:i/>
          <w:iCs/>
          <w:sz w:val="24"/>
          <w:szCs w:val="24"/>
          <w:lang w:val="es-ES"/>
        </w:rPr>
        <w:t xml:space="preserve">“No se haya efectuado ningún acto procesal durante el término de cien días </w:t>
      </w:r>
      <w:r w:rsidR="004D3298" w:rsidRPr="00CF6DA5">
        <w:rPr>
          <w:rFonts w:ascii="Arial" w:eastAsia="Calibri" w:hAnsi="Arial" w:cs="Arial"/>
          <w:sz w:val="24"/>
          <w:szCs w:val="24"/>
          <w:lang w:val="es-ES"/>
        </w:rPr>
        <w:t>naturales</w:t>
      </w:r>
      <w:r w:rsidR="004D3298" w:rsidRPr="00E855B0">
        <w:rPr>
          <w:rFonts w:ascii="Arial" w:eastAsia="Calibri" w:hAnsi="Arial" w:cs="Arial"/>
          <w:sz w:val="24"/>
          <w:szCs w:val="24"/>
          <w:lang w:val="es-ES"/>
        </w:rPr>
        <w:t xml:space="preserve"> (…)”</w:t>
      </w:r>
      <w:r w:rsidR="004D3298">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4D3298" w:rsidRPr="00CF6DA5">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4D3298">
        <w:rPr>
          <w:rFonts w:ascii="Arial" w:eastAsia="Calibri" w:hAnsi="Arial" w:cs="Arial"/>
          <w:sz w:val="24"/>
          <w:szCs w:val="24"/>
          <w:lang w:val="es-ES"/>
        </w:rPr>
        <w:t>; como el</w:t>
      </w:r>
      <w:r w:rsidR="004D3298" w:rsidRPr="00CF6DA5">
        <w:rPr>
          <w:rFonts w:ascii="Arial" w:eastAsia="Calibri" w:hAnsi="Arial" w:cs="Arial"/>
          <w:sz w:val="24"/>
          <w:szCs w:val="24"/>
          <w:lang w:val="es-ES"/>
        </w:rPr>
        <w:t xml:space="preserve"> </w:t>
      </w:r>
      <w:r w:rsidR="004D3298" w:rsidRPr="00CF6DA5">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4D3298" w:rsidRPr="00CF6DA5">
        <w:rPr>
          <w:rStyle w:val="FootnoteReference"/>
          <w:rFonts w:ascii="Arial" w:eastAsia="Calibri" w:hAnsi="Arial" w:cs="Arial"/>
          <w:i/>
          <w:iCs/>
          <w:sz w:val="24"/>
          <w:szCs w:val="24"/>
          <w:lang w:val="es-ES"/>
        </w:rPr>
        <w:footnoteReference w:id="1"/>
      </w:r>
      <w:r w:rsidR="004D3298" w:rsidRPr="00CF6DA5">
        <w:rPr>
          <w:rFonts w:ascii="Arial" w:eastAsia="Calibri" w:hAnsi="Arial" w:cs="Arial"/>
          <w:i/>
          <w:iCs/>
          <w:sz w:val="24"/>
          <w:szCs w:val="24"/>
          <w:lang w:val="es-ES"/>
        </w:rPr>
        <w:t>”</w:t>
      </w:r>
      <w:r w:rsidR="004D3298">
        <w:rPr>
          <w:rFonts w:ascii="Arial" w:eastAsia="Calibri" w:hAnsi="Arial" w:cs="Arial"/>
          <w:sz w:val="24"/>
          <w:szCs w:val="24"/>
          <w:lang w:val="es-ES"/>
        </w:rPr>
        <w:t xml:space="preserve"> o bien como </w:t>
      </w:r>
      <w:r w:rsidR="004D3298" w:rsidRPr="00CF6DA5">
        <w:rPr>
          <w:rFonts w:ascii="Arial" w:eastAsia="Calibri" w:hAnsi="Arial" w:cs="Arial"/>
          <w:i/>
          <w:iCs/>
          <w:sz w:val="24"/>
          <w:szCs w:val="24"/>
          <w:lang w:val="es-ES"/>
        </w:rPr>
        <w:t>“El acto jurídico emanado de las partes, de los </w:t>
      </w:r>
      <w:hyperlink r:id="rId8" w:history="1">
        <w:r w:rsidR="004D3298" w:rsidRPr="00CF6DA5">
          <w:rPr>
            <w:rFonts w:ascii="Arial" w:eastAsia="Calibri" w:hAnsi="Arial" w:cs="Arial"/>
            <w:i/>
            <w:iCs/>
            <w:sz w:val="24"/>
            <w:szCs w:val="24"/>
            <w:lang w:val="es-ES"/>
          </w:rPr>
          <w:t>agentes</w:t>
        </w:r>
      </w:hyperlink>
      <w:r w:rsidR="004D3298" w:rsidRPr="00CF6DA5">
        <w:rPr>
          <w:rFonts w:ascii="Arial" w:eastAsia="Calibri" w:hAnsi="Arial" w:cs="Arial"/>
          <w:i/>
          <w:iCs/>
          <w:sz w:val="24"/>
          <w:szCs w:val="24"/>
          <w:lang w:val="es-ES"/>
        </w:rPr>
        <w:t> de la </w:t>
      </w:r>
      <w:hyperlink r:id="rId9" w:history="1">
        <w:r w:rsidR="004D3298" w:rsidRPr="00CF6DA5">
          <w:rPr>
            <w:rFonts w:ascii="Arial" w:eastAsia="Calibri" w:hAnsi="Arial" w:cs="Arial"/>
            <w:i/>
            <w:iCs/>
            <w:sz w:val="24"/>
            <w:szCs w:val="24"/>
            <w:lang w:val="es-ES"/>
          </w:rPr>
          <w:t>jurisdicción</w:t>
        </w:r>
      </w:hyperlink>
      <w:r w:rsidR="004D3298" w:rsidRPr="00CF6DA5">
        <w:rPr>
          <w:rFonts w:ascii="Arial" w:eastAsia="Calibri" w:hAnsi="Arial" w:cs="Arial"/>
          <w:i/>
          <w:iCs/>
          <w:sz w:val="24"/>
          <w:szCs w:val="24"/>
          <w:lang w:val="es-ES"/>
        </w:rPr>
        <w:t> o aun de los </w:t>
      </w:r>
      <w:hyperlink r:id="rId10" w:history="1">
        <w:r w:rsidR="004D3298" w:rsidRPr="00CF6DA5">
          <w:rPr>
            <w:rFonts w:ascii="Arial" w:eastAsia="Calibri" w:hAnsi="Arial" w:cs="Arial"/>
            <w:i/>
            <w:iCs/>
            <w:sz w:val="24"/>
            <w:szCs w:val="24"/>
            <w:lang w:val="es-ES"/>
          </w:rPr>
          <w:t>terceros</w:t>
        </w:r>
      </w:hyperlink>
      <w:r w:rsidR="004D3298" w:rsidRPr="00CF6DA5">
        <w:rPr>
          <w:rFonts w:ascii="Arial" w:eastAsia="Calibri" w:hAnsi="Arial" w:cs="Arial"/>
          <w:i/>
          <w:iCs/>
          <w:sz w:val="24"/>
          <w:szCs w:val="24"/>
          <w:lang w:val="es-ES"/>
        </w:rPr>
        <w:t> ligados al proceso, susceptible de crear, modificar o extinguir efectos procesales</w:t>
      </w:r>
      <w:r w:rsidR="004D3298" w:rsidRPr="00CF6DA5">
        <w:rPr>
          <w:rStyle w:val="FootnoteReference"/>
          <w:rFonts w:ascii="Segoe UI" w:hAnsi="Segoe UI" w:cs="Segoe UI"/>
          <w:i/>
          <w:iCs/>
          <w:color w:val="495057"/>
          <w:shd w:val="clear" w:color="auto" w:fill="FFFFFF"/>
        </w:rPr>
        <w:footnoteReference w:id="2"/>
      </w:r>
      <w:r w:rsidR="004D3298" w:rsidRPr="00CF6DA5">
        <w:rPr>
          <w:rFonts w:ascii="Arial" w:hAnsi="Arial" w:cs="Arial"/>
          <w:i/>
          <w:iCs/>
          <w:color w:val="495057"/>
          <w:sz w:val="24"/>
          <w:szCs w:val="24"/>
          <w:shd w:val="clear" w:color="auto" w:fill="FFFFFF"/>
        </w:rPr>
        <w:t>”</w:t>
      </w:r>
      <w:r w:rsidR="004D3298" w:rsidRPr="00CF6DA5">
        <w:rPr>
          <w:rFonts w:ascii="Arial" w:eastAsia="Calibri" w:hAnsi="Arial" w:cs="Arial"/>
          <w:i/>
          <w:iCs/>
          <w:sz w:val="24"/>
          <w:szCs w:val="24"/>
          <w:lang w:val="es-ES"/>
        </w:rPr>
        <w:t xml:space="preserve">. - - - - - - </w:t>
      </w:r>
      <w:r w:rsidR="004D3298">
        <w:rPr>
          <w:rFonts w:ascii="Arial" w:eastAsia="Calibri" w:hAnsi="Arial" w:cs="Arial"/>
          <w:i/>
          <w:iCs/>
          <w:sz w:val="24"/>
          <w:szCs w:val="24"/>
          <w:lang w:val="es-ES"/>
        </w:rPr>
        <w:t xml:space="preserve">- - - - - - - - - - - - - - - - - - - - - - </w:t>
      </w:r>
      <w:r w:rsidR="004D3298" w:rsidRPr="00233180">
        <w:rPr>
          <w:rFonts w:ascii="Arial" w:eastAsia="Calibri" w:hAnsi="Arial" w:cs="Arial"/>
          <w:sz w:val="24"/>
          <w:szCs w:val="24"/>
          <w:lang w:val="es-ES"/>
        </w:rPr>
        <w:t>- - - De tal suerte que la expresión acto procesal considera cualquier acto jurídico de las partes, por lo que, con independencia de quién genere el estatismo de un procedimiento, el numeral en cita prevé el transcurso de un tiempo determinado para que opere el sobreseimiento en cuestión; y todavía más que las partes tienen expedito su derecho y oportunidad para en todo caso solicitar el impulso del procedimiento, tornándose dicha petición ante la autoridad en un acto procesal en sí mismo. - - - - - - - - - - - - - - - - - - - - - - - - - - - - - - - - - - - - - - - - - -</w:t>
      </w:r>
      <w:r w:rsidR="004D3298">
        <w:rPr>
          <w:rFonts w:ascii="Arial" w:eastAsia="Calibri" w:hAnsi="Arial" w:cs="Arial"/>
          <w:i/>
          <w:iCs/>
          <w:sz w:val="24"/>
          <w:szCs w:val="24"/>
          <w:lang w:val="es-ES"/>
        </w:rPr>
        <w:t xml:space="preserve"> </w:t>
      </w:r>
      <w:r w:rsidR="00D50C1F">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xml:space="preserve">, ya que el cumplimiento del mencionado derecho humano queda sujeto a los plazos y términos fijados por las leyes que obligan a las partes a cumplir con las </w:t>
      </w:r>
      <w:r w:rsidR="00E45DBD" w:rsidRPr="00CB6809">
        <w:rPr>
          <w:rFonts w:ascii="Arial" w:hAnsi="Arial" w:cs="Arial"/>
          <w:sz w:val="24"/>
          <w:szCs w:val="24"/>
          <w:lang w:val="es-ES_tradnl"/>
        </w:rPr>
        <w:lastRenderedPageBreak/>
        <w:t>cargas y deberes legales que la ley dispone.-</w:t>
      </w:r>
      <w:r w:rsidR="00D50C1F">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sidR="00D50C1F">
        <w:rPr>
          <w:rFonts w:ascii="Arial" w:eastAsia="Calibri" w:hAnsi="Arial" w:cs="Arial"/>
          <w:sz w:val="24"/>
          <w:szCs w:val="24"/>
          <w:lang w:val="es-ES"/>
        </w:rPr>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t xml:space="preserve">- - - Por otra parte, conviene reparar en lo señalado por la tesis jurisprudencial </w:t>
      </w:r>
      <w:r w:rsidR="00112069" w:rsidRPr="00930DB1">
        <w:rPr>
          <w:rFonts w:ascii="Arial" w:eastAsia="Calibri" w:hAnsi="Arial" w:cs="Arial"/>
          <w:sz w:val="24"/>
          <w:szCs w:val="24"/>
          <w:lang w:val="es-ES_tradnl"/>
        </w:rPr>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w:t>
      </w:r>
      <w:r w:rsidRPr="00112069">
        <w:rPr>
          <w:rFonts w:ascii="Arial" w:eastAsia="Calibri" w:hAnsi="Arial" w:cs="Arial"/>
          <w:i/>
          <w:iCs/>
          <w:lang w:val="es-ES_tradnl"/>
        </w:rPr>
        <w:lastRenderedPageBreak/>
        <w:t>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proofErr w:type="gramStart"/>
      <w:r w:rsidR="00112069" w:rsidRPr="00EE3B61">
        <w:rPr>
          <w:rFonts w:ascii="Arial" w:eastAsia="Calibri" w:hAnsi="Arial" w:cs="Arial"/>
          <w:sz w:val="24"/>
          <w:szCs w:val="24"/>
          <w:lang w:val="es-ES_tradnl"/>
        </w:rPr>
        <w:t>que</w:t>
      </w:r>
      <w:proofErr w:type="gramEnd"/>
      <w:r w:rsidR="00112069" w:rsidRPr="00EE3B61">
        <w:rPr>
          <w:rFonts w:ascii="Arial" w:eastAsia="Calibri" w:hAnsi="Arial" w:cs="Arial"/>
          <w:sz w:val="24"/>
          <w:szCs w:val="24"/>
          <w:lang w:val="es-ES_tradnl"/>
        </w:rPr>
        <w:t xml:space="preserv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w:t>
      </w:r>
      <w:r w:rsidR="00E45DBD" w:rsidRPr="00D50C1F">
        <w:rPr>
          <w:rFonts w:ascii="Arial" w:eastAsia="Calibri" w:hAnsi="Arial" w:cs="Arial"/>
          <w:sz w:val="24"/>
          <w:szCs w:val="24"/>
          <w:lang w:val="es-ES_tradnl"/>
        </w:rPr>
        <w:lastRenderedPageBreak/>
        <w:t xml:space="preserve">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EA7A33">
        <w:rPr>
          <w:rFonts w:ascii="Arial" w:hAnsi="Arial" w:cs="Arial"/>
          <w:i/>
          <w:szCs w:val="20"/>
          <w:lang w:eastAsia="es-MX"/>
        </w:rPr>
        <w:t>supercedere</w:t>
      </w:r>
      <w:proofErr w:type="spellEnd"/>
      <w:r w:rsidRPr="00EA7A33">
        <w:rPr>
          <w:rFonts w:ascii="Arial" w:hAnsi="Arial" w:cs="Arial"/>
          <w:i/>
          <w:szCs w:val="20"/>
          <w:lang w:eastAsia="es-MX"/>
        </w:rPr>
        <w:t xml:space="preserv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lastRenderedPageBreak/>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 - - - -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4076F019" w14:textId="77777777" w:rsidR="00585424" w:rsidRDefault="00585424"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92E2D14" w14:textId="77777777" w:rsidR="00384606" w:rsidRDefault="00384606"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2DE5BF1B" w14:textId="77777777" w:rsidR="00585424" w:rsidRPr="00962EF3" w:rsidRDefault="00585424"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1E14859" w14:textId="77777777" w:rsidR="00585424" w:rsidRDefault="00585424"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909A37E" w14:textId="77777777" w:rsidR="00DD3A7B"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AA15A7F" w14:textId="77777777" w:rsidR="00585424" w:rsidRPr="00962EF3" w:rsidRDefault="00585424"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B197DA6" w14:textId="77777777" w:rsidR="00585424" w:rsidRDefault="00585424"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7E6752CA" w14:textId="77777777" w:rsidR="0065459B" w:rsidRDefault="00D50C1F" w:rsidP="0065459B">
      <w:pPr>
        <w:tabs>
          <w:tab w:val="left" w:pos="8172"/>
        </w:tabs>
        <w:spacing w:before="100" w:beforeAutospacing="1" w:after="0" w:line="240" w:lineRule="auto"/>
        <w:jc w:val="both"/>
        <w:rPr>
          <w:rFonts w:ascii="Arial" w:eastAsia="Times New Roman" w:hAnsi="Arial" w:cs="Arial"/>
          <w:b/>
          <w:bCs/>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4E64BA">
        <w:rPr>
          <w:rFonts w:ascii="Arial" w:eastAsia="Times New Roman" w:hAnsi="Arial" w:cs="Arial"/>
          <w:sz w:val="24"/>
          <w:szCs w:val="24"/>
          <w:lang w:val="es-ES_tradnl" w:eastAsia="es-ES"/>
        </w:rPr>
        <w:t xml:space="preserve">uno </w:t>
      </w:r>
      <w:r w:rsidR="00384606">
        <w:rPr>
          <w:rFonts w:ascii="Arial" w:eastAsia="Times New Roman" w:hAnsi="Arial" w:cs="Arial"/>
          <w:sz w:val="24"/>
          <w:szCs w:val="24"/>
          <w:lang w:val="es-ES_tradnl" w:eastAsia="es-ES"/>
        </w:rPr>
        <w:t>de ju</w:t>
      </w:r>
      <w:r w:rsidR="004E64BA">
        <w:rPr>
          <w:rFonts w:ascii="Arial" w:eastAsia="Times New Roman" w:hAnsi="Arial" w:cs="Arial"/>
          <w:sz w:val="24"/>
          <w:szCs w:val="24"/>
          <w:lang w:val="es-ES_tradnl" w:eastAsia="es-ES"/>
        </w:rPr>
        <w:t>l</w:t>
      </w:r>
      <w:r w:rsidR="00384606">
        <w:rPr>
          <w:rFonts w:ascii="Arial" w:eastAsia="Times New Roman" w:hAnsi="Arial" w:cs="Arial"/>
          <w:sz w:val="24"/>
          <w:szCs w:val="24"/>
          <w:lang w:val="es-ES_tradnl" w:eastAsia="es-ES"/>
        </w:rPr>
        <w:t xml:space="preserve">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60D44178" w14:textId="09A76C4F" w:rsidR="00213A3E" w:rsidRDefault="00D50C1F" w:rsidP="0065459B">
      <w:pPr>
        <w:tabs>
          <w:tab w:val="left" w:pos="8172"/>
        </w:tabs>
        <w:spacing w:before="100" w:beforeAutospacing="1" w:after="0" w:line="240" w:lineRule="auto"/>
        <w:jc w:val="both"/>
      </w:pPr>
      <w:proofErr w:type="spellStart"/>
      <w:r>
        <w:rPr>
          <w:rFonts w:eastAsia="Times New Roman"/>
          <w:sz w:val="20"/>
          <w:szCs w:val="20"/>
          <w:lang w:val="es-ES_tradnl" w:eastAsia="es-ES"/>
        </w:rPr>
        <w:t>RAGL</w:t>
      </w:r>
      <w:proofErr w:type="spellEnd"/>
      <w:r>
        <w:rPr>
          <w:rFonts w:eastAsia="Times New Roman"/>
          <w:sz w:val="20"/>
          <w:szCs w:val="20"/>
          <w:lang w:val="es-ES_tradnl" w:eastAsia="es-ES"/>
        </w:rPr>
        <w:t>/</w:t>
      </w:r>
      <w:proofErr w:type="spellStart"/>
      <w:r>
        <w:rPr>
          <w:rFonts w:eastAsia="Times New Roman"/>
          <w:sz w:val="20"/>
          <w:szCs w:val="20"/>
          <w:lang w:val="es-ES_tradnl" w:eastAsia="es-ES"/>
        </w:rPr>
        <w:t>Bytm</w:t>
      </w:r>
      <w:proofErr w:type="spellEnd"/>
      <w:r>
        <w:rPr>
          <w:rFonts w:eastAsia="Times New Roman"/>
          <w:sz w:val="20"/>
          <w:szCs w:val="20"/>
          <w:lang w:val="es-ES_tradnl" w:eastAsia="es-ES"/>
        </w:rPr>
        <w:t>*</w:t>
      </w:r>
    </w:p>
    <w:sectPr w:rsidR="00213A3E" w:rsidSect="0065459B">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6599" w14:textId="77777777" w:rsidR="00546B4B" w:rsidRDefault="00546B4B" w:rsidP="00E45DBD">
      <w:pPr>
        <w:spacing w:after="0" w:line="240" w:lineRule="auto"/>
      </w:pPr>
      <w:r>
        <w:separator/>
      </w:r>
    </w:p>
  </w:endnote>
  <w:endnote w:type="continuationSeparator" w:id="0">
    <w:p w14:paraId="46D9A561" w14:textId="77777777" w:rsidR="00546B4B" w:rsidRDefault="00546B4B"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D420" w14:textId="77777777" w:rsidR="00EF4935" w:rsidRDefault="00EF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65459B" w:rsidRPr="0065459B">
          <w:rPr>
            <w:noProof/>
            <w:lang w:val="es-ES"/>
          </w:rPr>
          <w:t>7</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226E" w14:textId="77777777" w:rsidR="00EF4935" w:rsidRDefault="00EF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2299" w14:textId="77777777" w:rsidR="00546B4B" w:rsidRDefault="00546B4B" w:rsidP="00E45DBD">
      <w:pPr>
        <w:spacing w:after="0" w:line="240" w:lineRule="auto"/>
      </w:pPr>
      <w:r>
        <w:separator/>
      </w:r>
    </w:p>
  </w:footnote>
  <w:footnote w:type="continuationSeparator" w:id="0">
    <w:p w14:paraId="74CA30E6" w14:textId="77777777" w:rsidR="00546B4B" w:rsidRDefault="00546B4B" w:rsidP="00E45DBD">
      <w:pPr>
        <w:spacing w:after="0" w:line="240" w:lineRule="auto"/>
      </w:pPr>
      <w:r>
        <w:continuationSeparator/>
      </w:r>
    </w:p>
  </w:footnote>
  <w:footnote w:id="1">
    <w:p w14:paraId="19550DD1" w14:textId="77777777" w:rsidR="004D3298" w:rsidRPr="00CF6DA5" w:rsidRDefault="004D3298" w:rsidP="004E64BA">
      <w:pPr>
        <w:pStyle w:val="FootnoteText"/>
        <w:jc w:val="both"/>
        <w:rPr>
          <w:rFonts w:ascii="Arial" w:hAnsi="Arial" w:cs="Arial"/>
        </w:rPr>
      </w:pPr>
      <w:r w:rsidRPr="00CF6DA5">
        <w:rPr>
          <w:rStyle w:val="FootnoteReference"/>
          <w:rFonts w:ascii="Arial" w:hAnsi="Arial" w:cs="Arial"/>
        </w:rPr>
        <w:footnoteRef/>
      </w:r>
      <w:r w:rsidRPr="00CF6DA5">
        <w:rPr>
          <w:rFonts w:ascii="Arial" w:hAnsi="Arial" w:cs="Arial"/>
        </w:rPr>
        <w:t xml:space="preserve"> Acepciones extraídas del Diccionario panhispánico del español jurídico. </w:t>
      </w:r>
    </w:p>
  </w:footnote>
  <w:footnote w:id="2">
    <w:p w14:paraId="6EFFBDCD" w14:textId="77777777" w:rsidR="004D3298" w:rsidRDefault="004D3298" w:rsidP="00233180">
      <w:pPr>
        <w:pStyle w:val="FootnoteText"/>
        <w:jc w:val="both"/>
      </w:pPr>
      <w:r w:rsidRPr="00CF6DA5">
        <w:rPr>
          <w:rStyle w:val="FootnoteReference"/>
          <w:rFonts w:ascii="Arial" w:hAnsi="Arial" w:cs="Arial"/>
        </w:rPr>
        <w:footnoteRef/>
      </w:r>
      <w:r w:rsidRPr="00CF6DA5">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F37A" w14:textId="77777777" w:rsidR="00EF4935" w:rsidRDefault="00EF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392191BA" w:rsidR="00EC6074" w:rsidRDefault="00EF4935" w:rsidP="00161C4D">
    <w:pPr>
      <w:pStyle w:val="BodyText"/>
      <w:spacing w:line="14" w:lineRule="auto"/>
      <w:ind w:right="333"/>
      <w:rPr>
        <w:b/>
        <w:i/>
        <w:sz w:val="20"/>
      </w:rPr>
    </w:pPr>
    <w:sdt>
      <w:sdtPr>
        <w:rPr>
          <w:b/>
          <w:i/>
          <w:sz w:val="20"/>
        </w:rPr>
        <w:id w:val="-1346327785"/>
        <w:docPartObj>
          <w:docPartGallery w:val="Watermarks"/>
          <w:docPartUnique/>
        </w:docPartObj>
      </w:sdtPr>
      <w:sdtContent>
        <w:r w:rsidRPr="00EF4935">
          <w:rPr>
            <w:b/>
            <w:i/>
            <w:noProof/>
            <w:sz w:val="20"/>
          </w:rPr>
          <w:pict w14:anchorId="596E8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2"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05E2BE65"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B1244A">
      <w:rPr>
        <w:b/>
        <w:sz w:val="22"/>
        <w:szCs w:val="22"/>
      </w:rPr>
      <w:t xml:space="preserve">: </w:t>
    </w:r>
    <w:r w:rsidR="006B0695">
      <w:rPr>
        <w:b/>
        <w:sz w:val="22"/>
        <w:szCs w:val="22"/>
      </w:rPr>
      <w:t>505</w:t>
    </w:r>
    <w:r w:rsidR="00C61788">
      <w:rPr>
        <w:b/>
        <w:sz w:val="22"/>
        <w:szCs w:val="22"/>
      </w:rPr>
      <w:t>/202</w:t>
    </w:r>
    <w:r w:rsidR="006B0695">
      <w:rPr>
        <w:b/>
        <w:sz w:val="22"/>
        <w:szCs w:val="22"/>
      </w:rPr>
      <w:t>1</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DF3F" w14:textId="77777777" w:rsidR="00EF4935" w:rsidRDefault="00EF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576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85AC4"/>
    <w:rsid w:val="0009045F"/>
    <w:rsid w:val="000A3AB1"/>
    <w:rsid w:val="000D0A49"/>
    <w:rsid w:val="000F085E"/>
    <w:rsid w:val="000F5F61"/>
    <w:rsid w:val="001045D9"/>
    <w:rsid w:val="0010551C"/>
    <w:rsid w:val="001068F0"/>
    <w:rsid w:val="0010798F"/>
    <w:rsid w:val="00112069"/>
    <w:rsid w:val="00114A52"/>
    <w:rsid w:val="00116DC9"/>
    <w:rsid w:val="0011757F"/>
    <w:rsid w:val="00130249"/>
    <w:rsid w:val="00153EED"/>
    <w:rsid w:val="00161C4D"/>
    <w:rsid w:val="00162507"/>
    <w:rsid w:val="00165196"/>
    <w:rsid w:val="00170E19"/>
    <w:rsid w:val="00171531"/>
    <w:rsid w:val="00173C91"/>
    <w:rsid w:val="001B2142"/>
    <w:rsid w:val="001B2DFB"/>
    <w:rsid w:val="001C4456"/>
    <w:rsid w:val="001E7FC8"/>
    <w:rsid w:val="00207739"/>
    <w:rsid w:val="00213A3E"/>
    <w:rsid w:val="00215DB4"/>
    <w:rsid w:val="00230FAC"/>
    <w:rsid w:val="00233180"/>
    <w:rsid w:val="002333FF"/>
    <w:rsid w:val="002434D1"/>
    <w:rsid w:val="00245338"/>
    <w:rsid w:val="002454E7"/>
    <w:rsid w:val="00250A78"/>
    <w:rsid w:val="00251928"/>
    <w:rsid w:val="00254B56"/>
    <w:rsid w:val="002654FC"/>
    <w:rsid w:val="00291CFF"/>
    <w:rsid w:val="002A60E4"/>
    <w:rsid w:val="002B1CBE"/>
    <w:rsid w:val="002C213D"/>
    <w:rsid w:val="002E33F2"/>
    <w:rsid w:val="002F0F16"/>
    <w:rsid w:val="00300BB5"/>
    <w:rsid w:val="00336863"/>
    <w:rsid w:val="00350338"/>
    <w:rsid w:val="00351A7D"/>
    <w:rsid w:val="003542CF"/>
    <w:rsid w:val="00363177"/>
    <w:rsid w:val="003641B9"/>
    <w:rsid w:val="003655AA"/>
    <w:rsid w:val="00375A94"/>
    <w:rsid w:val="00384606"/>
    <w:rsid w:val="00387680"/>
    <w:rsid w:val="00391837"/>
    <w:rsid w:val="00393B60"/>
    <w:rsid w:val="0039753E"/>
    <w:rsid w:val="003A62D8"/>
    <w:rsid w:val="003C353D"/>
    <w:rsid w:val="003C4952"/>
    <w:rsid w:val="003D20C1"/>
    <w:rsid w:val="003E48CF"/>
    <w:rsid w:val="003F76CF"/>
    <w:rsid w:val="00433320"/>
    <w:rsid w:val="00441027"/>
    <w:rsid w:val="004434C8"/>
    <w:rsid w:val="004441FD"/>
    <w:rsid w:val="00455AED"/>
    <w:rsid w:val="004609CB"/>
    <w:rsid w:val="004817B1"/>
    <w:rsid w:val="00494DFF"/>
    <w:rsid w:val="004A2E48"/>
    <w:rsid w:val="004C562E"/>
    <w:rsid w:val="004D228A"/>
    <w:rsid w:val="004D3298"/>
    <w:rsid w:val="004E3976"/>
    <w:rsid w:val="004E64BA"/>
    <w:rsid w:val="0050759A"/>
    <w:rsid w:val="00512C49"/>
    <w:rsid w:val="005225BA"/>
    <w:rsid w:val="00535612"/>
    <w:rsid w:val="00546B4B"/>
    <w:rsid w:val="00556A7F"/>
    <w:rsid w:val="00572709"/>
    <w:rsid w:val="005741C4"/>
    <w:rsid w:val="00580F58"/>
    <w:rsid w:val="00585424"/>
    <w:rsid w:val="00587E69"/>
    <w:rsid w:val="005917DB"/>
    <w:rsid w:val="005A34BA"/>
    <w:rsid w:val="005A7664"/>
    <w:rsid w:val="005B007A"/>
    <w:rsid w:val="005B6F17"/>
    <w:rsid w:val="005E44B0"/>
    <w:rsid w:val="00610639"/>
    <w:rsid w:val="00615EE3"/>
    <w:rsid w:val="00643E79"/>
    <w:rsid w:val="00650EDB"/>
    <w:rsid w:val="0065459B"/>
    <w:rsid w:val="00662FFE"/>
    <w:rsid w:val="00667852"/>
    <w:rsid w:val="00682B73"/>
    <w:rsid w:val="00687F08"/>
    <w:rsid w:val="00690663"/>
    <w:rsid w:val="006A5CE9"/>
    <w:rsid w:val="006B0695"/>
    <w:rsid w:val="006B3203"/>
    <w:rsid w:val="006B4698"/>
    <w:rsid w:val="006D231C"/>
    <w:rsid w:val="006D2FAA"/>
    <w:rsid w:val="006F3205"/>
    <w:rsid w:val="00702E11"/>
    <w:rsid w:val="00721C1E"/>
    <w:rsid w:val="00725373"/>
    <w:rsid w:val="00740DEE"/>
    <w:rsid w:val="00746AD6"/>
    <w:rsid w:val="007533F7"/>
    <w:rsid w:val="00754648"/>
    <w:rsid w:val="00762F17"/>
    <w:rsid w:val="00770773"/>
    <w:rsid w:val="0077682B"/>
    <w:rsid w:val="007769A5"/>
    <w:rsid w:val="00792CD3"/>
    <w:rsid w:val="007947B0"/>
    <w:rsid w:val="00795C9A"/>
    <w:rsid w:val="007B13BE"/>
    <w:rsid w:val="007C3C2D"/>
    <w:rsid w:val="007C3DE1"/>
    <w:rsid w:val="007C5407"/>
    <w:rsid w:val="007D2BD8"/>
    <w:rsid w:val="007E096D"/>
    <w:rsid w:val="007E2D42"/>
    <w:rsid w:val="007E5DEF"/>
    <w:rsid w:val="007F42D1"/>
    <w:rsid w:val="00800502"/>
    <w:rsid w:val="00820A81"/>
    <w:rsid w:val="008267BF"/>
    <w:rsid w:val="008339CE"/>
    <w:rsid w:val="00840B1F"/>
    <w:rsid w:val="0084605B"/>
    <w:rsid w:val="0086331E"/>
    <w:rsid w:val="008634FB"/>
    <w:rsid w:val="008654A4"/>
    <w:rsid w:val="00873559"/>
    <w:rsid w:val="00876E8D"/>
    <w:rsid w:val="00897584"/>
    <w:rsid w:val="008B19B2"/>
    <w:rsid w:val="008D1023"/>
    <w:rsid w:val="008E3A3A"/>
    <w:rsid w:val="00903590"/>
    <w:rsid w:val="00904D96"/>
    <w:rsid w:val="009154C6"/>
    <w:rsid w:val="00920F16"/>
    <w:rsid w:val="00923138"/>
    <w:rsid w:val="00930DB1"/>
    <w:rsid w:val="00936A2C"/>
    <w:rsid w:val="009478FA"/>
    <w:rsid w:val="009506DB"/>
    <w:rsid w:val="00951764"/>
    <w:rsid w:val="00952D0A"/>
    <w:rsid w:val="00955A9C"/>
    <w:rsid w:val="00957AAD"/>
    <w:rsid w:val="009615F0"/>
    <w:rsid w:val="00961D98"/>
    <w:rsid w:val="00962EF3"/>
    <w:rsid w:val="00963987"/>
    <w:rsid w:val="0096586D"/>
    <w:rsid w:val="00977679"/>
    <w:rsid w:val="00990942"/>
    <w:rsid w:val="00991831"/>
    <w:rsid w:val="0099282E"/>
    <w:rsid w:val="009940C4"/>
    <w:rsid w:val="009958B3"/>
    <w:rsid w:val="009975CB"/>
    <w:rsid w:val="009A0057"/>
    <w:rsid w:val="009A5C84"/>
    <w:rsid w:val="009B6ABB"/>
    <w:rsid w:val="009C121F"/>
    <w:rsid w:val="009C1815"/>
    <w:rsid w:val="009C4F0E"/>
    <w:rsid w:val="009C6A9E"/>
    <w:rsid w:val="009D42E8"/>
    <w:rsid w:val="009F0243"/>
    <w:rsid w:val="009F65F7"/>
    <w:rsid w:val="00A00A58"/>
    <w:rsid w:val="00A04A41"/>
    <w:rsid w:val="00A329ED"/>
    <w:rsid w:val="00A334C5"/>
    <w:rsid w:val="00A47F5B"/>
    <w:rsid w:val="00A506C6"/>
    <w:rsid w:val="00A578F2"/>
    <w:rsid w:val="00A667E5"/>
    <w:rsid w:val="00A7216A"/>
    <w:rsid w:val="00A82482"/>
    <w:rsid w:val="00A964D2"/>
    <w:rsid w:val="00AC2081"/>
    <w:rsid w:val="00AD5DCE"/>
    <w:rsid w:val="00AE22B6"/>
    <w:rsid w:val="00B11036"/>
    <w:rsid w:val="00B1244A"/>
    <w:rsid w:val="00B26D6A"/>
    <w:rsid w:val="00B27867"/>
    <w:rsid w:val="00B31A0C"/>
    <w:rsid w:val="00B36261"/>
    <w:rsid w:val="00B42D60"/>
    <w:rsid w:val="00B53ECC"/>
    <w:rsid w:val="00B54AAC"/>
    <w:rsid w:val="00B5565F"/>
    <w:rsid w:val="00B643EE"/>
    <w:rsid w:val="00B73A09"/>
    <w:rsid w:val="00B810F1"/>
    <w:rsid w:val="00B81A54"/>
    <w:rsid w:val="00B869C9"/>
    <w:rsid w:val="00BB4F73"/>
    <w:rsid w:val="00BD30D0"/>
    <w:rsid w:val="00BD7CB8"/>
    <w:rsid w:val="00BE000C"/>
    <w:rsid w:val="00BF47D8"/>
    <w:rsid w:val="00BF6A18"/>
    <w:rsid w:val="00C07769"/>
    <w:rsid w:val="00C12476"/>
    <w:rsid w:val="00C32469"/>
    <w:rsid w:val="00C5344A"/>
    <w:rsid w:val="00C55A72"/>
    <w:rsid w:val="00C56260"/>
    <w:rsid w:val="00C61788"/>
    <w:rsid w:val="00C908AD"/>
    <w:rsid w:val="00C91F09"/>
    <w:rsid w:val="00C966B0"/>
    <w:rsid w:val="00CA239D"/>
    <w:rsid w:val="00CB44F3"/>
    <w:rsid w:val="00CB6809"/>
    <w:rsid w:val="00CC0CE6"/>
    <w:rsid w:val="00CC4678"/>
    <w:rsid w:val="00CC6928"/>
    <w:rsid w:val="00CD216C"/>
    <w:rsid w:val="00CF3D1D"/>
    <w:rsid w:val="00CF5480"/>
    <w:rsid w:val="00D10E49"/>
    <w:rsid w:val="00D11C11"/>
    <w:rsid w:val="00D2257B"/>
    <w:rsid w:val="00D2413C"/>
    <w:rsid w:val="00D25057"/>
    <w:rsid w:val="00D25B91"/>
    <w:rsid w:val="00D36729"/>
    <w:rsid w:val="00D37BD7"/>
    <w:rsid w:val="00D50C1F"/>
    <w:rsid w:val="00D61072"/>
    <w:rsid w:val="00D63B00"/>
    <w:rsid w:val="00D66C92"/>
    <w:rsid w:val="00D715C3"/>
    <w:rsid w:val="00DB3902"/>
    <w:rsid w:val="00DC16CB"/>
    <w:rsid w:val="00DD3A7B"/>
    <w:rsid w:val="00DE0FF7"/>
    <w:rsid w:val="00DE1EEC"/>
    <w:rsid w:val="00DE4EC5"/>
    <w:rsid w:val="00DE6528"/>
    <w:rsid w:val="00DF30A7"/>
    <w:rsid w:val="00DF5FC7"/>
    <w:rsid w:val="00E037E1"/>
    <w:rsid w:val="00E06ACB"/>
    <w:rsid w:val="00E07F8A"/>
    <w:rsid w:val="00E1121F"/>
    <w:rsid w:val="00E27C15"/>
    <w:rsid w:val="00E31E50"/>
    <w:rsid w:val="00E42E8E"/>
    <w:rsid w:val="00E45DBD"/>
    <w:rsid w:val="00E70A59"/>
    <w:rsid w:val="00E82A2B"/>
    <w:rsid w:val="00EA20F7"/>
    <w:rsid w:val="00EA3B5F"/>
    <w:rsid w:val="00EA7911"/>
    <w:rsid w:val="00EC25D1"/>
    <w:rsid w:val="00EC56D2"/>
    <w:rsid w:val="00EC6074"/>
    <w:rsid w:val="00EE3B61"/>
    <w:rsid w:val="00EE7212"/>
    <w:rsid w:val="00EE7ABE"/>
    <w:rsid w:val="00EF4935"/>
    <w:rsid w:val="00EF5D42"/>
    <w:rsid w:val="00F046A8"/>
    <w:rsid w:val="00F054C2"/>
    <w:rsid w:val="00F11D29"/>
    <w:rsid w:val="00F149C9"/>
    <w:rsid w:val="00F33000"/>
    <w:rsid w:val="00F4367A"/>
    <w:rsid w:val="00F47893"/>
    <w:rsid w:val="00F570C2"/>
    <w:rsid w:val="00F64378"/>
    <w:rsid w:val="00F72545"/>
    <w:rsid w:val="00F72D33"/>
    <w:rsid w:val="00F76829"/>
    <w:rsid w:val="00FA2190"/>
    <w:rsid w:val="00FA65B8"/>
    <w:rsid w:val="00FC7033"/>
    <w:rsid w:val="00FE0A0D"/>
    <w:rsid w:val="00FE25B7"/>
    <w:rsid w:val="00FE4656"/>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41EFFF6E-4627-4CD6-8913-BABC5F1A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3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298"/>
    <w:rPr>
      <w:sz w:val="20"/>
      <w:szCs w:val="20"/>
    </w:rPr>
  </w:style>
  <w:style w:type="character" w:styleId="FootnoteReference">
    <w:name w:val="footnote reference"/>
    <w:basedOn w:val="DefaultParagraphFont"/>
    <w:uiPriority w:val="99"/>
    <w:semiHidden/>
    <w:unhideWhenUsed/>
    <w:rsid w:val="004D3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6EF6-C78E-4670-BCFF-D4780F64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3380</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THAILY</dc:creator>
  <cp:lastModifiedBy>Alejandro Arellano Arvizu</cp:lastModifiedBy>
  <cp:revision>5</cp:revision>
  <cp:lastPrinted>2024-06-17T17:39:00Z</cp:lastPrinted>
  <dcterms:created xsi:type="dcterms:W3CDTF">2024-06-26T16:01:00Z</dcterms:created>
  <dcterms:modified xsi:type="dcterms:W3CDTF">2024-07-04T20:25:00Z</dcterms:modified>
</cp:coreProperties>
</file>