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D7E3A" w14:textId="61BA704D" w:rsidR="00E45DBD" w:rsidRPr="00CB6809" w:rsidRDefault="00E45DBD" w:rsidP="003A62D8">
      <w:pPr>
        <w:spacing w:after="200" w:line="360" w:lineRule="auto"/>
        <w:jc w:val="both"/>
        <w:rPr>
          <w:rFonts w:ascii="Arial" w:eastAsia="Calibri" w:hAnsi="Arial" w:cs="Arial"/>
          <w:b/>
          <w:sz w:val="24"/>
          <w:szCs w:val="24"/>
          <w:lang w:val="es-ES"/>
        </w:rPr>
      </w:pPr>
      <w:bookmarkStart w:id="0" w:name="_Hlk136252236"/>
      <w:r w:rsidRPr="00CB6809">
        <w:rPr>
          <w:rFonts w:ascii="Arial" w:eastAsia="Calibri" w:hAnsi="Arial" w:cs="Arial"/>
          <w:b/>
          <w:sz w:val="24"/>
          <w:szCs w:val="24"/>
          <w:lang w:val="es-ES"/>
        </w:rPr>
        <w:t>CUENTA</w:t>
      </w:r>
      <w:r w:rsidR="00CB6809" w:rsidRPr="00CB6809">
        <w:rPr>
          <w:rFonts w:ascii="Arial" w:eastAsia="Calibri" w:hAnsi="Arial" w:cs="Arial"/>
          <w:b/>
          <w:sz w:val="24"/>
          <w:szCs w:val="24"/>
          <w:lang w:val="es-ES"/>
        </w:rPr>
        <w:t>.</w:t>
      </w:r>
      <w:r w:rsidRPr="00CB6809">
        <w:rPr>
          <w:rFonts w:ascii="Arial" w:eastAsia="Calibri" w:hAnsi="Arial" w:cs="Arial"/>
          <w:b/>
          <w:sz w:val="24"/>
          <w:szCs w:val="24"/>
          <w:lang w:val="es-ES"/>
        </w:rPr>
        <w:t xml:space="preserve"> - En Hermosillo, Sonora, </w:t>
      </w:r>
      <w:r w:rsidRPr="00A91418">
        <w:rPr>
          <w:rFonts w:ascii="Arial" w:eastAsia="Calibri" w:hAnsi="Arial" w:cs="Arial"/>
          <w:b/>
          <w:sz w:val="24"/>
          <w:szCs w:val="24"/>
          <w:lang w:val="es-ES"/>
        </w:rPr>
        <w:t xml:space="preserve">a </w:t>
      </w:r>
      <w:r w:rsidR="00A91418">
        <w:rPr>
          <w:rFonts w:ascii="Arial" w:eastAsia="Calibri" w:hAnsi="Arial" w:cs="Arial"/>
          <w:b/>
          <w:sz w:val="24"/>
          <w:szCs w:val="24"/>
          <w:lang w:val="es-ES"/>
        </w:rPr>
        <w:t>doce</w:t>
      </w:r>
      <w:r w:rsidR="00936A2C" w:rsidRPr="00A91418">
        <w:rPr>
          <w:rFonts w:ascii="Arial" w:eastAsia="Calibri" w:hAnsi="Arial" w:cs="Arial"/>
          <w:b/>
          <w:sz w:val="24"/>
          <w:szCs w:val="24"/>
          <w:lang w:val="es-ES"/>
        </w:rPr>
        <w:t xml:space="preserve"> </w:t>
      </w:r>
      <w:r w:rsidR="00740DEE" w:rsidRPr="00A91418">
        <w:rPr>
          <w:rFonts w:ascii="Arial" w:eastAsia="Calibri" w:hAnsi="Arial" w:cs="Arial"/>
          <w:b/>
          <w:sz w:val="24"/>
          <w:szCs w:val="24"/>
          <w:lang w:val="es-ES"/>
        </w:rPr>
        <w:t xml:space="preserve">de </w:t>
      </w:r>
      <w:r w:rsidR="00936A2C" w:rsidRPr="00A91418">
        <w:rPr>
          <w:rFonts w:ascii="Arial" w:eastAsia="Calibri" w:hAnsi="Arial" w:cs="Arial"/>
          <w:b/>
          <w:sz w:val="24"/>
          <w:szCs w:val="24"/>
          <w:lang w:val="es-ES"/>
        </w:rPr>
        <w:t xml:space="preserve">junio </w:t>
      </w:r>
      <w:r w:rsidRPr="00A91418">
        <w:rPr>
          <w:rFonts w:ascii="Arial" w:eastAsia="Calibri" w:hAnsi="Arial" w:cs="Arial"/>
          <w:b/>
          <w:sz w:val="24"/>
          <w:szCs w:val="24"/>
          <w:lang w:val="es-ES"/>
        </w:rPr>
        <w:t>de dos mil veinticuatro,</w:t>
      </w:r>
      <w:r w:rsidRPr="00CB6809">
        <w:rPr>
          <w:rFonts w:ascii="Arial" w:eastAsia="Calibri" w:hAnsi="Arial" w:cs="Arial"/>
          <w:sz w:val="24"/>
          <w:szCs w:val="24"/>
          <w:lang w:val="es-ES"/>
        </w:rPr>
        <w:t xml:space="preserve"> doy cuenta al Pleno del Tribunal de Justicia Administrativa del Estado de Sonora</w:t>
      </w:r>
      <w:r w:rsidR="00CB6809" w:rsidRPr="00CB6809">
        <w:rPr>
          <w:rFonts w:ascii="Arial" w:eastAsia="Calibri" w:hAnsi="Arial" w:cs="Arial"/>
          <w:sz w:val="24"/>
          <w:szCs w:val="24"/>
          <w:lang w:val="es-ES"/>
        </w:rPr>
        <w:t>,</w:t>
      </w:r>
      <w:r w:rsidRPr="00CB6809">
        <w:rPr>
          <w:rFonts w:ascii="Arial" w:eastAsia="Calibri" w:hAnsi="Arial" w:cs="Arial"/>
          <w:sz w:val="24"/>
          <w:szCs w:val="24"/>
          <w:lang w:val="es-ES"/>
        </w:rPr>
        <w:t xml:space="preserve"> con el estado procesal que guardan los autos</w:t>
      </w:r>
      <w:r w:rsidR="0096646E">
        <w:rPr>
          <w:rFonts w:ascii="Arial" w:eastAsia="Calibri" w:hAnsi="Arial" w:cs="Arial"/>
          <w:sz w:val="24"/>
          <w:szCs w:val="24"/>
          <w:lang w:val="es-ES"/>
        </w:rPr>
        <w:t xml:space="preserve"> </w:t>
      </w:r>
      <w:r w:rsidR="00CB6809" w:rsidRPr="00CB6809">
        <w:rPr>
          <w:rFonts w:ascii="Arial" w:eastAsia="Calibri" w:hAnsi="Arial" w:cs="Arial"/>
          <w:sz w:val="24"/>
          <w:szCs w:val="24"/>
          <w:lang w:val="es-ES"/>
        </w:rPr>
        <w:t xml:space="preserve"> originales</w:t>
      </w:r>
      <w:r w:rsidRPr="00CB6809">
        <w:rPr>
          <w:rFonts w:ascii="Arial" w:eastAsia="Calibri" w:hAnsi="Arial" w:cs="Arial"/>
          <w:sz w:val="24"/>
          <w:szCs w:val="24"/>
          <w:lang w:val="es-ES"/>
        </w:rPr>
        <w:t xml:space="preserve"> del </w:t>
      </w:r>
      <w:r w:rsidRPr="00930DB1">
        <w:rPr>
          <w:rFonts w:ascii="Arial" w:eastAsia="Calibri" w:hAnsi="Arial" w:cs="Arial"/>
          <w:b/>
          <w:bCs/>
          <w:sz w:val="24"/>
          <w:szCs w:val="24"/>
          <w:lang w:val="es-ES"/>
        </w:rPr>
        <w:t>expediente</w:t>
      </w:r>
      <w:r w:rsidRPr="00CB6809">
        <w:rPr>
          <w:rFonts w:ascii="Arial" w:eastAsia="Calibri" w:hAnsi="Arial" w:cs="Arial"/>
          <w:b/>
          <w:bCs/>
          <w:sz w:val="24"/>
          <w:szCs w:val="24"/>
          <w:lang w:val="es-ES"/>
        </w:rPr>
        <w:t xml:space="preserve"> </w:t>
      </w:r>
      <w:r w:rsidR="00FD6C13">
        <w:rPr>
          <w:rFonts w:ascii="Arial" w:eastAsia="Calibri" w:hAnsi="Arial" w:cs="Arial"/>
          <w:b/>
          <w:bCs/>
          <w:sz w:val="24"/>
          <w:szCs w:val="24"/>
          <w:lang w:val="es-ES"/>
        </w:rPr>
        <w:t>40/2021</w:t>
      </w:r>
      <w:r w:rsidRPr="00CB6809">
        <w:rPr>
          <w:rFonts w:ascii="Arial" w:eastAsia="Calibri" w:hAnsi="Arial" w:cs="Arial"/>
          <w:sz w:val="24"/>
          <w:szCs w:val="24"/>
          <w:lang w:val="es-ES"/>
        </w:rPr>
        <w:t xml:space="preserve">.- </w:t>
      </w:r>
      <w:r w:rsidRPr="00CB6809">
        <w:rPr>
          <w:rFonts w:ascii="Arial" w:eastAsia="Calibri" w:hAnsi="Arial" w:cs="Arial"/>
          <w:b/>
          <w:sz w:val="24"/>
          <w:szCs w:val="24"/>
          <w:lang w:val="es-ES"/>
        </w:rPr>
        <w:t xml:space="preserve">CONSTE. - </w:t>
      </w:r>
    </w:p>
    <w:p w14:paraId="30E0703B" w14:textId="77777777" w:rsidR="00E45DBD" w:rsidRPr="00CB6809" w:rsidRDefault="00E45DBD" w:rsidP="003A62D8">
      <w:pPr>
        <w:tabs>
          <w:tab w:val="left" w:pos="8172"/>
        </w:tabs>
        <w:spacing w:after="200" w:line="360" w:lineRule="auto"/>
        <w:jc w:val="both"/>
        <w:rPr>
          <w:rFonts w:ascii="Arial" w:eastAsia="Calibri" w:hAnsi="Arial" w:cs="Arial"/>
          <w:b/>
          <w:bCs/>
          <w:sz w:val="24"/>
          <w:szCs w:val="24"/>
        </w:rPr>
      </w:pPr>
    </w:p>
    <w:p w14:paraId="43A9970C" w14:textId="39712251" w:rsidR="00FD6C13" w:rsidRDefault="00161C4D" w:rsidP="0077682B">
      <w:pPr>
        <w:tabs>
          <w:tab w:val="left" w:pos="8172"/>
        </w:tabs>
        <w:spacing w:after="200" w:line="360" w:lineRule="auto"/>
        <w:jc w:val="both"/>
        <w:rPr>
          <w:rFonts w:ascii="Arial" w:eastAsia="Calibri" w:hAnsi="Arial" w:cs="Arial"/>
          <w:sz w:val="24"/>
          <w:szCs w:val="24"/>
          <w:lang w:val="es-ES"/>
        </w:rPr>
      </w:pP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A91418">
        <w:rPr>
          <w:rFonts w:ascii="Arial" w:eastAsia="Calibri" w:hAnsi="Arial" w:cs="Arial"/>
          <w:b/>
          <w:sz w:val="24"/>
          <w:szCs w:val="24"/>
        </w:rPr>
        <w:t xml:space="preserve">DOCE </w:t>
      </w:r>
      <w:r w:rsidR="00740DEE" w:rsidRPr="00A91418">
        <w:rPr>
          <w:rFonts w:ascii="Arial" w:eastAsia="Calibri" w:hAnsi="Arial" w:cs="Arial"/>
          <w:b/>
          <w:sz w:val="24"/>
          <w:szCs w:val="24"/>
        </w:rPr>
        <w:t xml:space="preserve">DE </w:t>
      </w:r>
      <w:r w:rsidR="00936A2C" w:rsidRPr="00A91418">
        <w:rPr>
          <w:rFonts w:ascii="Arial" w:eastAsia="Calibri" w:hAnsi="Arial" w:cs="Arial"/>
          <w:b/>
          <w:sz w:val="24"/>
          <w:szCs w:val="24"/>
        </w:rPr>
        <w:t>JUNIO</w:t>
      </w:r>
      <w:r w:rsidR="00936A2C">
        <w:rPr>
          <w:rFonts w:ascii="Arial" w:eastAsia="Calibri" w:hAnsi="Arial" w:cs="Arial"/>
          <w:b/>
          <w:sz w:val="24"/>
          <w:szCs w:val="24"/>
        </w:rPr>
        <w:t xml:space="preserve">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w:t>
      </w:r>
    </w:p>
    <w:p w14:paraId="39F7839E" w14:textId="6149052D" w:rsidR="00FD6C13" w:rsidRDefault="00740DEE" w:rsidP="0077682B">
      <w:pPr>
        <w:tabs>
          <w:tab w:val="left" w:pos="8172"/>
        </w:tabs>
        <w:spacing w:after="200" w:line="360" w:lineRule="auto"/>
        <w:jc w:val="both"/>
        <w:rPr>
          <w:rFonts w:ascii="Arial" w:eastAsia="Calibri" w:hAnsi="Arial" w:cs="Arial"/>
          <w:sz w:val="24"/>
          <w:szCs w:val="24"/>
        </w:rPr>
      </w:pPr>
      <w:r>
        <w:rPr>
          <w:rFonts w:ascii="Arial" w:eastAsia="Calibri" w:hAnsi="Arial" w:cs="Arial"/>
          <w:sz w:val="24"/>
          <w:szCs w:val="24"/>
          <w:lang w:val="es-ES"/>
        </w:rPr>
        <w:t xml:space="preserve">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cuenta que antecede, del análisis de los autos del expediente </w:t>
      </w:r>
      <w:r w:rsidR="003C353D">
        <w:rPr>
          <w:rFonts w:ascii="Arial" w:eastAsia="Calibri" w:hAnsi="Arial" w:cs="Arial"/>
          <w:sz w:val="24"/>
          <w:szCs w:val="24"/>
        </w:rPr>
        <w:t xml:space="preserve">de mérito relativo al </w:t>
      </w:r>
      <w:r w:rsidR="003542CF" w:rsidRPr="00A91418">
        <w:rPr>
          <w:rFonts w:ascii="Arial" w:eastAsia="Calibri" w:hAnsi="Arial" w:cs="Arial"/>
          <w:b/>
          <w:bCs/>
          <w:sz w:val="24"/>
          <w:szCs w:val="24"/>
        </w:rPr>
        <w:t>JUICIO ADMINISTRATIVO</w:t>
      </w:r>
      <w:r w:rsidR="003C353D">
        <w:rPr>
          <w:rFonts w:ascii="Arial" w:eastAsia="Calibri" w:hAnsi="Arial" w:cs="Arial"/>
          <w:sz w:val="24"/>
          <w:szCs w:val="24"/>
        </w:rPr>
        <w:t xml:space="preserve">, promovido por </w:t>
      </w:r>
      <w:r w:rsidR="00D744F4">
        <w:rPr>
          <w:rFonts w:ascii="Arial" w:eastAsia="Calibri" w:hAnsi="Arial" w:cs="Arial"/>
          <w:sz w:val="24"/>
          <w:szCs w:val="24"/>
        </w:rPr>
        <w:t>********</w:t>
      </w:r>
      <w:r w:rsidR="00FD6C13">
        <w:rPr>
          <w:rFonts w:ascii="Arial" w:eastAsia="Calibri" w:hAnsi="Arial" w:cs="Arial"/>
          <w:sz w:val="24"/>
          <w:szCs w:val="24"/>
        </w:rPr>
        <w:t xml:space="preserve"> </w:t>
      </w:r>
      <w:r w:rsidR="003C353D">
        <w:rPr>
          <w:rFonts w:ascii="Arial" w:eastAsia="Calibri" w:hAnsi="Arial" w:cs="Arial"/>
          <w:sz w:val="24"/>
          <w:szCs w:val="24"/>
        </w:rPr>
        <w:t>en contra de</w:t>
      </w:r>
      <w:r w:rsidR="00FD6C13">
        <w:rPr>
          <w:rFonts w:ascii="Arial" w:eastAsia="Calibri" w:hAnsi="Arial" w:cs="Arial"/>
          <w:sz w:val="24"/>
          <w:szCs w:val="24"/>
        </w:rPr>
        <w:t xml:space="preserve">  </w:t>
      </w:r>
      <w:r w:rsidR="00D744F4">
        <w:rPr>
          <w:rFonts w:ascii="Arial" w:eastAsia="Calibri" w:hAnsi="Arial" w:cs="Arial"/>
          <w:sz w:val="24"/>
          <w:szCs w:val="24"/>
        </w:rPr>
        <w:t>***********</w:t>
      </w:r>
      <w:r w:rsidR="00FD6C13">
        <w:rPr>
          <w:rFonts w:ascii="Arial" w:eastAsia="Calibri" w:hAnsi="Arial" w:cs="Arial"/>
          <w:sz w:val="24"/>
          <w:szCs w:val="24"/>
        </w:rPr>
        <w:t xml:space="preserve">, </w:t>
      </w:r>
      <w:r w:rsidR="00E45DBD" w:rsidRPr="00CB6809">
        <w:rPr>
          <w:rFonts w:ascii="Arial" w:eastAsia="Calibri" w:hAnsi="Arial" w:cs="Arial"/>
          <w:sz w:val="24"/>
          <w:szCs w:val="24"/>
        </w:rPr>
        <w:t xml:space="preserve"> </w:t>
      </w:r>
      <w:r w:rsidR="008634FB">
        <w:rPr>
          <w:rFonts w:ascii="Arial" w:eastAsia="Calibri" w:hAnsi="Arial" w:cs="Arial"/>
          <w:sz w:val="24"/>
          <w:szCs w:val="24"/>
        </w:rPr>
        <w:t xml:space="preserve">se advierte </w:t>
      </w:r>
      <w:r w:rsidR="00E45DBD" w:rsidRPr="00CB6809">
        <w:rPr>
          <w:rFonts w:ascii="Arial" w:eastAsia="Calibri" w:hAnsi="Arial" w:cs="Arial"/>
          <w:sz w:val="24"/>
          <w:szCs w:val="24"/>
        </w:rPr>
        <w:t>la actualización de la causal de sobreseimiento prevista por el artículo 87</w:t>
      </w:r>
      <w:r w:rsidR="00161C4D">
        <w:rPr>
          <w:rFonts w:ascii="Arial" w:eastAsia="Calibri" w:hAnsi="Arial" w:cs="Arial"/>
          <w:sz w:val="24"/>
          <w:szCs w:val="24"/>
        </w:rPr>
        <w:t xml:space="preserve"> [</w:t>
      </w:r>
      <w:r w:rsidR="00E45DBD" w:rsidRPr="00CB6809">
        <w:rPr>
          <w:rFonts w:ascii="Arial" w:eastAsia="Calibri" w:hAnsi="Arial" w:cs="Arial"/>
          <w:sz w:val="24"/>
          <w:szCs w:val="24"/>
        </w:rPr>
        <w:t>fracción V</w:t>
      </w:r>
      <w:r w:rsidR="00161C4D">
        <w:rPr>
          <w:rFonts w:ascii="Arial" w:eastAsia="Calibri" w:hAnsi="Arial" w:cs="Arial"/>
          <w:sz w:val="24"/>
          <w:szCs w:val="24"/>
        </w:rPr>
        <w:t>]</w:t>
      </w:r>
      <w:r w:rsidR="00E45DBD" w:rsidRPr="00CB6809">
        <w:rPr>
          <w:rFonts w:ascii="Arial" w:eastAsia="Calibri" w:hAnsi="Arial" w:cs="Arial"/>
          <w:sz w:val="24"/>
          <w:szCs w:val="24"/>
        </w:rPr>
        <w:t xml:space="preserve"> de la Ley de Justicia Administrativa del Estado de Sonora, mismo que para su estudio, a la letra se cita: </w:t>
      </w:r>
    </w:p>
    <w:p w14:paraId="2A3D8BA4" w14:textId="77777777" w:rsidR="00FD6C13" w:rsidRDefault="00CB6809" w:rsidP="0077682B">
      <w:pPr>
        <w:tabs>
          <w:tab w:val="left" w:pos="8172"/>
        </w:tabs>
        <w:spacing w:after="200" w:line="360" w:lineRule="auto"/>
        <w:jc w:val="both"/>
        <w:rPr>
          <w:rFonts w:ascii="Arial" w:eastAsia="Calibri" w:hAnsi="Arial" w:cs="Arial"/>
          <w:i/>
          <w:iCs/>
          <w:sz w:val="24"/>
          <w:szCs w:val="24"/>
        </w:rPr>
      </w:pPr>
      <w:r>
        <w:rPr>
          <w:rFonts w:ascii="Arial" w:eastAsia="Calibri" w:hAnsi="Arial" w:cs="Arial"/>
          <w:sz w:val="24"/>
          <w:szCs w:val="24"/>
          <w:lang w:val="es-ES"/>
        </w:rPr>
        <w:t xml:space="preserve">(…) </w:t>
      </w:r>
      <w:r w:rsidR="00E45DBD" w:rsidRPr="00CB6809">
        <w:rPr>
          <w:rFonts w:ascii="Arial" w:eastAsia="Calibri" w:hAnsi="Arial" w:cs="Arial"/>
          <w:i/>
          <w:iCs/>
          <w:sz w:val="24"/>
          <w:szCs w:val="24"/>
        </w:rPr>
        <w:t>“</w:t>
      </w:r>
      <w:r w:rsidR="00E45DBD" w:rsidRPr="00CB6809">
        <w:rPr>
          <w:rFonts w:ascii="Arial" w:eastAsia="Calibri" w:hAnsi="Arial" w:cs="Arial"/>
          <w:b/>
          <w:bCs/>
          <w:i/>
          <w:iCs/>
          <w:sz w:val="24"/>
          <w:szCs w:val="24"/>
        </w:rPr>
        <w:t>ARTÍCULO 87. Procede el sobreseimiento del juicio cuando</w:t>
      </w:r>
      <w:r w:rsidR="00E45DBD" w:rsidRPr="00CB6809">
        <w:rPr>
          <w:rFonts w:ascii="Arial" w:eastAsia="Calibri" w:hAnsi="Arial" w:cs="Arial"/>
          <w:i/>
          <w:iCs/>
          <w:sz w:val="24"/>
          <w:szCs w:val="24"/>
        </w:rPr>
        <w:t xml:space="preserve">: </w:t>
      </w:r>
    </w:p>
    <w:p w14:paraId="2FCCEE37" w14:textId="77777777" w:rsidR="00FD6C13" w:rsidRDefault="00E45DBD" w:rsidP="0077682B">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 El demandante se desista expresamente de la acción intentada; </w:t>
      </w:r>
    </w:p>
    <w:p w14:paraId="03D69F59" w14:textId="77777777" w:rsidR="00FD6C13" w:rsidRDefault="00E45DBD" w:rsidP="0077682B">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II.- El actor fallezca durante el juicio, siempre que no se trate de derechos transmisibles; </w:t>
      </w:r>
    </w:p>
    <w:p w14:paraId="48A96CFF" w14:textId="77777777" w:rsidR="00FD6C13" w:rsidRDefault="00FD6C13" w:rsidP="0077682B">
      <w:pPr>
        <w:tabs>
          <w:tab w:val="left" w:pos="8172"/>
        </w:tabs>
        <w:spacing w:after="200" w:line="360" w:lineRule="auto"/>
        <w:jc w:val="both"/>
        <w:rPr>
          <w:rFonts w:ascii="Arial" w:eastAsia="Calibri" w:hAnsi="Arial" w:cs="Arial"/>
          <w:i/>
          <w:iCs/>
          <w:sz w:val="24"/>
          <w:szCs w:val="24"/>
        </w:rPr>
      </w:pPr>
      <w:r>
        <w:rPr>
          <w:rFonts w:ascii="Arial" w:eastAsia="Calibri" w:hAnsi="Arial" w:cs="Arial"/>
          <w:i/>
          <w:iCs/>
          <w:sz w:val="24"/>
          <w:szCs w:val="24"/>
        </w:rPr>
        <w:t>I</w:t>
      </w:r>
      <w:r w:rsidR="00E45DBD" w:rsidRPr="00CB6809">
        <w:rPr>
          <w:rFonts w:ascii="Arial" w:eastAsia="Calibri" w:hAnsi="Arial" w:cs="Arial"/>
          <w:i/>
          <w:iCs/>
          <w:sz w:val="24"/>
          <w:szCs w:val="24"/>
        </w:rPr>
        <w:t xml:space="preserve">II. Sobrevenga o se advierta durante el juicio o al dictar sentencia, alguno de los casos de improcedencia a que se refiere el artículo anterior; </w:t>
      </w:r>
    </w:p>
    <w:p w14:paraId="17CC364B" w14:textId="77777777" w:rsidR="00FD6C13" w:rsidRDefault="00E45DBD" w:rsidP="0077682B">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IV.- De las constancias de autos se demuestre que no existe el acto impugnado, o cuando no se pruebe su existencia en la audiencia del juicio; </w:t>
      </w:r>
    </w:p>
    <w:p w14:paraId="64EDCE35" w14:textId="0A561E57" w:rsidR="00FD6C13" w:rsidRDefault="00E45DBD" w:rsidP="0077682B">
      <w:pPr>
        <w:tabs>
          <w:tab w:val="left" w:pos="8172"/>
        </w:tabs>
        <w:spacing w:after="200" w:line="360" w:lineRule="auto"/>
        <w:jc w:val="both"/>
        <w:rPr>
          <w:rFonts w:ascii="Arial" w:eastAsia="Calibri" w:hAnsi="Arial" w:cs="Arial"/>
          <w:b/>
          <w:bCs/>
          <w:i/>
          <w:iCs/>
          <w:sz w:val="24"/>
          <w:szCs w:val="24"/>
        </w:rPr>
      </w:pPr>
      <w:r w:rsidRPr="00930DB1">
        <w:rPr>
          <w:rFonts w:ascii="Arial" w:eastAsia="Calibri" w:hAnsi="Arial" w:cs="Arial"/>
          <w:b/>
          <w:bCs/>
          <w:i/>
          <w:iCs/>
          <w:sz w:val="24"/>
          <w:szCs w:val="24"/>
          <w:u w:val="single"/>
        </w:rPr>
        <w:t>V.- No se haya efectuado ningún acto procesal durante el término de cien días naturales; o</w:t>
      </w:r>
      <w:r w:rsidRPr="00930DB1">
        <w:rPr>
          <w:rFonts w:ascii="Arial" w:eastAsia="Calibri" w:hAnsi="Arial" w:cs="Arial"/>
          <w:b/>
          <w:bCs/>
          <w:i/>
          <w:iCs/>
          <w:sz w:val="24"/>
          <w:szCs w:val="24"/>
        </w:rPr>
        <w:t xml:space="preserve"> </w:t>
      </w:r>
      <w:r w:rsidR="00FD6C13">
        <w:rPr>
          <w:rFonts w:ascii="Arial" w:eastAsia="Calibri" w:hAnsi="Arial" w:cs="Arial"/>
          <w:b/>
          <w:bCs/>
          <w:i/>
          <w:iCs/>
          <w:sz w:val="24"/>
          <w:szCs w:val="24"/>
        </w:rPr>
        <w:t>–</w:t>
      </w:r>
      <w:r w:rsidR="00CB6809" w:rsidRPr="00930DB1">
        <w:rPr>
          <w:rFonts w:ascii="Arial" w:eastAsia="Calibri" w:hAnsi="Arial" w:cs="Arial"/>
          <w:b/>
          <w:bCs/>
          <w:i/>
          <w:iCs/>
          <w:sz w:val="24"/>
          <w:szCs w:val="24"/>
        </w:rPr>
        <w:t xml:space="preserve"> </w:t>
      </w:r>
    </w:p>
    <w:p w14:paraId="50870738" w14:textId="77777777" w:rsidR="00FD6C13" w:rsidRDefault="00E45DBD" w:rsidP="0077682B">
      <w:pPr>
        <w:tabs>
          <w:tab w:val="left" w:pos="8172"/>
        </w:tabs>
        <w:spacing w:after="200" w:line="360" w:lineRule="auto"/>
        <w:jc w:val="both"/>
        <w:rPr>
          <w:rFonts w:ascii="Arial" w:eastAsia="Calibri" w:hAnsi="Arial" w:cs="Arial"/>
          <w:b/>
          <w:bCs/>
          <w:i/>
          <w:iCs/>
          <w:sz w:val="24"/>
          <w:szCs w:val="24"/>
        </w:rPr>
      </w:pPr>
      <w:r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Pr="00CB6809">
        <w:rPr>
          <w:rFonts w:ascii="Arial" w:eastAsia="Calibri" w:hAnsi="Arial" w:cs="Arial"/>
          <w:b/>
          <w:bCs/>
          <w:i/>
          <w:iCs/>
          <w:sz w:val="24"/>
          <w:szCs w:val="24"/>
        </w:rPr>
        <w:t xml:space="preserve"> </w:t>
      </w:r>
      <w:bookmarkStart w:id="1" w:name="_Hlk136255550"/>
    </w:p>
    <w:p w14:paraId="222F4328" w14:textId="7CB2D07D" w:rsidR="00FD6C13" w:rsidRDefault="00E45DBD" w:rsidP="0077682B">
      <w:pPr>
        <w:tabs>
          <w:tab w:val="left" w:pos="8172"/>
        </w:tabs>
        <w:spacing w:after="200" w:line="360" w:lineRule="auto"/>
        <w:jc w:val="both"/>
        <w:rPr>
          <w:rFonts w:ascii="Arial" w:eastAsia="Calibri" w:hAnsi="Arial" w:cs="Arial"/>
          <w:sz w:val="24"/>
          <w:szCs w:val="24"/>
        </w:rPr>
      </w:pPr>
      <w:r w:rsidRPr="00CB6809">
        <w:rPr>
          <w:rFonts w:ascii="Arial" w:eastAsia="Calibri" w:hAnsi="Arial" w:cs="Arial"/>
          <w:sz w:val="24"/>
          <w:szCs w:val="24"/>
        </w:rPr>
        <w:t xml:space="preserve">Conforme al dispositivo jurídico citado, se advierte de la imposición de autos el transcurso del término de </w:t>
      </w:r>
      <w:r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Pr="00CB44F3">
        <w:rPr>
          <w:rFonts w:ascii="Arial" w:eastAsia="Calibri" w:hAnsi="Arial" w:cs="Arial"/>
          <w:sz w:val="24"/>
          <w:szCs w:val="24"/>
          <w:u w:val="single"/>
        </w:rPr>
        <w:t>días naturales</w:t>
      </w:r>
      <w:r w:rsidRPr="00CB6809">
        <w:rPr>
          <w:rFonts w:ascii="Arial" w:eastAsia="Calibri" w:hAnsi="Arial" w:cs="Arial"/>
          <w:sz w:val="24"/>
          <w:szCs w:val="24"/>
        </w:rPr>
        <w:t xml:space="preserve"> sin que se hubiese efectuado ningún acto procesal, </w:t>
      </w:r>
      <w:r w:rsidRPr="00CB44F3">
        <w:rPr>
          <w:rFonts w:ascii="Arial" w:eastAsia="Calibri" w:hAnsi="Arial" w:cs="Arial"/>
          <w:sz w:val="24"/>
          <w:szCs w:val="24"/>
        </w:rPr>
        <w:t xml:space="preserve">esto, ya que </w:t>
      </w:r>
      <w:r w:rsidRPr="00A91418">
        <w:rPr>
          <w:rFonts w:ascii="Arial" w:eastAsia="Calibri" w:hAnsi="Arial" w:cs="Arial"/>
          <w:sz w:val="24"/>
          <w:szCs w:val="24"/>
        </w:rPr>
        <w:t xml:space="preserve">a foja </w:t>
      </w:r>
      <w:r w:rsidR="00FD6C13">
        <w:rPr>
          <w:rFonts w:ascii="Arial" w:eastAsia="Calibri" w:hAnsi="Arial" w:cs="Arial"/>
          <w:sz w:val="24"/>
          <w:szCs w:val="24"/>
        </w:rPr>
        <w:t>155</w:t>
      </w:r>
      <w:r w:rsidR="00687F08">
        <w:rPr>
          <w:rFonts w:ascii="Arial" w:eastAsia="Calibri" w:hAnsi="Arial" w:cs="Arial"/>
          <w:sz w:val="24"/>
          <w:szCs w:val="24"/>
        </w:rPr>
        <w:t xml:space="preserve">, </w:t>
      </w:r>
      <w:r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Pr="00A91418">
        <w:rPr>
          <w:rFonts w:ascii="Arial" w:eastAsia="Calibri" w:hAnsi="Arial" w:cs="Arial"/>
          <w:sz w:val="24"/>
          <w:szCs w:val="24"/>
          <w:u w:val="single"/>
        </w:rPr>
        <w:t>auto de fecha</w:t>
      </w:r>
      <w:r w:rsidR="00CB44F3" w:rsidRPr="00A91418">
        <w:rPr>
          <w:rFonts w:ascii="Arial" w:eastAsia="Calibri" w:hAnsi="Arial" w:cs="Arial"/>
          <w:sz w:val="24"/>
          <w:szCs w:val="24"/>
        </w:rPr>
        <w:t xml:space="preserve"> </w:t>
      </w:r>
      <w:bookmarkStart w:id="2" w:name="_Hlk168473979"/>
      <w:r w:rsidR="00FD6C13">
        <w:rPr>
          <w:rFonts w:ascii="Arial" w:eastAsia="Calibri" w:hAnsi="Arial" w:cs="Arial"/>
          <w:sz w:val="24"/>
          <w:szCs w:val="24"/>
          <w:u w:val="single"/>
        </w:rPr>
        <w:t>dieciocho de agosto del dos mil veintitrés</w:t>
      </w:r>
      <w:bookmarkEnd w:id="2"/>
      <w:r w:rsidRPr="00CB44F3">
        <w:rPr>
          <w:rFonts w:ascii="Arial" w:eastAsia="Calibri" w:hAnsi="Arial" w:cs="Arial"/>
          <w:sz w:val="24"/>
          <w:szCs w:val="24"/>
        </w:rPr>
        <w:t xml:space="preserve">, mediante el cual se </w:t>
      </w:r>
      <w:r w:rsidR="00D25B91">
        <w:rPr>
          <w:rFonts w:ascii="Arial" w:eastAsia="Calibri" w:hAnsi="Arial" w:cs="Arial"/>
          <w:sz w:val="24"/>
          <w:szCs w:val="24"/>
        </w:rPr>
        <w:t xml:space="preserve">señaló </w:t>
      </w:r>
      <w:r w:rsidR="00FD6C13">
        <w:rPr>
          <w:rFonts w:ascii="Arial" w:eastAsia="Calibri" w:hAnsi="Arial" w:cs="Arial"/>
          <w:sz w:val="24"/>
          <w:szCs w:val="24"/>
        </w:rPr>
        <w:t>nueva fecha para la audiencia de pruebas y alegatos</w:t>
      </w:r>
      <w:r w:rsidRPr="00F76829">
        <w:rPr>
          <w:rFonts w:ascii="Arial" w:eastAsia="Calibri" w:hAnsi="Arial" w:cs="Arial"/>
          <w:sz w:val="24"/>
          <w:szCs w:val="24"/>
        </w:rPr>
        <w:t xml:space="preserve">, </w:t>
      </w:r>
      <w:r w:rsidR="006D2FAA" w:rsidRPr="00F76829">
        <w:rPr>
          <w:rFonts w:ascii="Arial" w:eastAsia="Calibri" w:hAnsi="Arial" w:cs="Arial"/>
          <w:sz w:val="24"/>
          <w:szCs w:val="24"/>
        </w:rPr>
        <w:t>fue el último</w:t>
      </w:r>
      <w:r w:rsidRPr="00F76829">
        <w:rPr>
          <w:rFonts w:ascii="Arial" w:eastAsia="Calibri" w:hAnsi="Arial" w:cs="Arial"/>
          <w:sz w:val="24"/>
          <w:szCs w:val="24"/>
        </w:rPr>
        <w:t xml:space="preserve"> </w:t>
      </w:r>
      <w:r w:rsidR="00B81A54">
        <w:rPr>
          <w:rFonts w:ascii="Arial" w:eastAsia="Calibri" w:hAnsi="Arial" w:cs="Arial"/>
          <w:sz w:val="24"/>
          <w:szCs w:val="24"/>
        </w:rPr>
        <w:t>acto</w:t>
      </w:r>
      <w:r w:rsidRPr="00F76829">
        <w:rPr>
          <w:rFonts w:ascii="Arial" w:eastAsia="Calibri" w:hAnsi="Arial" w:cs="Arial"/>
          <w:sz w:val="24"/>
          <w:szCs w:val="24"/>
        </w:rPr>
        <w:t xml:space="preserve"> procesal de</w:t>
      </w:r>
      <w:r w:rsidR="00873559">
        <w:rPr>
          <w:rFonts w:ascii="Arial" w:eastAsia="Calibri" w:hAnsi="Arial" w:cs="Arial"/>
          <w:sz w:val="24"/>
          <w:szCs w:val="24"/>
        </w:rPr>
        <w:t>ntro del juicio en que se actúa</w:t>
      </w:r>
      <w:r w:rsidR="00D25B91" w:rsidRPr="00F76829">
        <w:rPr>
          <w:rFonts w:ascii="Arial" w:eastAsia="Calibri" w:hAnsi="Arial" w:cs="Arial"/>
          <w:sz w:val="24"/>
          <w:szCs w:val="24"/>
        </w:rPr>
        <w:t xml:space="preserve">.- </w:t>
      </w:r>
      <w:r w:rsidR="00EA3B5F">
        <w:rPr>
          <w:rFonts w:ascii="Arial" w:eastAsia="Calibri" w:hAnsi="Arial" w:cs="Arial"/>
          <w:sz w:val="24"/>
          <w:szCs w:val="24"/>
        </w:rPr>
        <w:t xml:space="preserve">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Pr="00F76829">
        <w:rPr>
          <w:rFonts w:ascii="Arial" w:eastAsia="Calibri" w:hAnsi="Arial" w:cs="Arial"/>
          <w:sz w:val="24"/>
          <w:szCs w:val="24"/>
        </w:rPr>
        <w:t xml:space="preserve"> del</w:t>
      </w:r>
      <w:r w:rsidR="00FD6C13" w:rsidRPr="00FD6C13">
        <w:t xml:space="preserve"> </w:t>
      </w:r>
      <w:r w:rsidR="00FD6C13" w:rsidRPr="00FD6C13">
        <w:rPr>
          <w:rFonts w:ascii="Arial" w:eastAsia="Calibri" w:hAnsi="Arial" w:cs="Arial"/>
          <w:sz w:val="24"/>
          <w:szCs w:val="24"/>
          <w:u w:val="single"/>
        </w:rPr>
        <w:t xml:space="preserve">dieciocho de agosto del dos mil veintitrés al doce de junio del dos mil </w:t>
      </w:r>
      <w:r w:rsidR="00FD6C13" w:rsidRPr="00FD6C13">
        <w:rPr>
          <w:rFonts w:ascii="Arial" w:eastAsia="Calibri" w:hAnsi="Arial" w:cs="Arial"/>
          <w:sz w:val="24"/>
          <w:szCs w:val="24"/>
          <w:u w:val="single"/>
        </w:rPr>
        <w:lastRenderedPageBreak/>
        <w:t>veinticuatro</w:t>
      </w:r>
      <w:r w:rsidRPr="00F76829">
        <w:rPr>
          <w:rFonts w:ascii="Arial" w:eastAsia="Calibri" w:hAnsi="Arial" w:cs="Arial"/>
          <w:sz w:val="24"/>
          <w:szCs w:val="24"/>
        </w:rPr>
        <w:t xml:space="preserve"> </w:t>
      </w:r>
      <w:r w:rsidR="003F76CF" w:rsidRPr="00CB44F3">
        <w:rPr>
          <w:rFonts w:ascii="Arial" w:eastAsia="Calibri" w:hAnsi="Arial" w:cs="Arial"/>
          <w:sz w:val="24"/>
          <w:szCs w:val="24"/>
          <w:u w:val="single"/>
        </w:rPr>
        <w:t>,</w:t>
      </w:r>
      <w:r w:rsidR="003F76CF" w:rsidRPr="00CB6809">
        <w:rPr>
          <w:rFonts w:ascii="Arial" w:eastAsia="Calibri" w:hAnsi="Arial" w:cs="Arial"/>
          <w:sz w:val="24"/>
          <w:szCs w:val="24"/>
        </w:rPr>
        <w:t xml:space="preserve"> han trascurrido </w:t>
      </w:r>
      <w:r w:rsidR="00FD6C13" w:rsidRPr="00A91418">
        <w:rPr>
          <w:rFonts w:ascii="Arial" w:eastAsia="Calibri" w:hAnsi="Arial" w:cs="Arial"/>
          <w:b/>
          <w:bCs/>
          <w:sz w:val="24"/>
          <w:szCs w:val="24"/>
          <w:u w:val="single"/>
        </w:rPr>
        <w:t xml:space="preserve">doscientos </w:t>
      </w:r>
      <w:r w:rsidR="00D744F4" w:rsidRPr="00A91418">
        <w:rPr>
          <w:rFonts w:ascii="Arial" w:eastAsia="Calibri" w:hAnsi="Arial" w:cs="Arial"/>
          <w:b/>
          <w:bCs/>
          <w:sz w:val="24"/>
          <w:szCs w:val="24"/>
          <w:u w:val="single"/>
        </w:rPr>
        <w:t>setenta</w:t>
      </w:r>
      <w:r w:rsidR="00FD6C13" w:rsidRPr="00A91418">
        <w:rPr>
          <w:rFonts w:ascii="Arial" w:eastAsia="Calibri" w:hAnsi="Arial" w:cs="Arial"/>
          <w:b/>
          <w:bCs/>
          <w:sz w:val="24"/>
          <w:szCs w:val="24"/>
          <w:u w:val="single"/>
        </w:rPr>
        <w:t xml:space="preserve"> y ocho </w:t>
      </w:r>
      <w:r w:rsidR="003F76CF" w:rsidRPr="00A91418">
        <w:rPr>
          <w:rFonts w:ascii="Arial" w:eastAsia="Calibri" w:hAnsi="Arial" w:cs="Arial"/>
          <w:b/>
          <w:bCs/>
          <w:sz w:val="24"/>
          <w:szCs w:val="24"/>
          <w:u w:val="single"/>
        </w:rPr>
        <w:t>días (</w:t>
      </w:r>
      <w:r w:rsidR="00FD6C13" w:rsidRPr="00A91418">
        <w:rPr>
          <w:rFonts w:ascii="Arial" w:eastAsia="Calibri" w:hAnsi="Arial" w:cs="Arial"/>
          <w:b/>
          <w:bCs/>
          <w:sz w:val="24"/>
          <w:szCs w:val="24"/>
          <w:u w:val="single"/>
        </w:rPr>
        <w:t>278</w:t>
      </w:r>
      <w:r w:rsidR="003F76CF" w:rsidRPr="00A91418">
        <w:rPr>
          <w:rFonts w:ascii="Arial" w:eastAsia="Calibri" w:hAnsi="Arial" w:cs="Arial"/>
          <w:b/>
          <w:bCs/>
          <w:sz w:val="24"/>
          <w:szCs w:val="24"/>
          <w:u w:val="single"/>
        </w:rPr>
        <w:t>) naturales</w:t>
      </w:r>
      <w:r w:rsidR="003F76CF" w:rsidRPr="00A91418">
        <w:rPr>
          <w:rFonts w:ascii="Arial" w:eastAsia="Calibri" w:hAnsi="Arial" w:cs="Arial"/>
          <w:sz w:val="24"/>
          <w:szCs w:val="24"/>
        </w:rPr>
        <w:t>,</w:t>
      </w:r>
      <w:r w:rsidRPr="00A91418">
        <w:rPr>
          <w:rFonts w:ascii="Arial" w:eastAsia="Calibri" w:hAnsi="Arial" w:cs="Arial"/>
          <w:sz w:val="24"/>
          <w:szCs w:val="24"/>
        </w:rPr>
        <w:t xml:space="preserve"> sin que se advierta que en dicho período la parte actora</w:t>
      </w:r>
      <w:r w:rsidR="005917DB" w:rsidRPr="00A91418">
        <w:rPr>
          <w:rFonts w:ascii="Arial" w:eastAsia="Calibri" w:hAnsi="Arial" w:cs="Arial"/>
          <w:sz w:val="24"/>
          <w:szCs w:val="24"/>
        </w:rPr>
        <w:t xml:space="preserve"> </w:t>
      </w:r>
      <w:r w:rsidR="00E31E50" w:rsidRPr="00A91418">
        <w:rPr>
          <w:rFonts w:ascii="Arial" w:eastAsia="Calibri" w:hAnsi="Arial" w:cs="Arial"/>
          <w:sz w:val="24"/>
          <w:szCs w:val="24"/>
        </w:rPr>
        <w:t>o la autoridad</w:t>
      </w:r>
      <w:r w:rsidR="00E31E50">
        <w:rPr>
          <w:rFonts w:ascii="Arial" w:eastAsia="Calibri" w:hAnsi="Arial" w:cs="Arial"/>
          <w:sz w:val="24"/>
          <w:szCs w:val="24"/>
        </w:rPr>
        <w:t xml:space="preserve"> demandada </w:t>
      </w:r>
      <w:r w:rsidRPr="00CB6809">
        <w:rPr>
          <w:rFonts w:ascii="Arial" w:eastAsia="Calibri" w:hAnsi="Arial" w:cs="Arial"/>
          <w:sz w:val="24"/>
          <w:szCs w:val="24"/>
        </w:rPr>
        <w:t>haya</w:t>
      </w:r>
      <w:r w:rsidR="00E31E50">
        <w:rPr>
          <w:rFonts w:ascii="Arial" w:eastAsia="Calibri" w:hAnsi="Arial" w:cs="Arial"/>
          <w:sz w:val="24"/>
          <w:szCs w:val="24"/>
        </w:rPr>
        <w:t>n</w:t>
      </w:r>
      <w:r w:rsidRPr="00CB6809">
        <w:rPr>
          <w:rFonts w:ascii="Arial" w:eastAsia="Calibri" w:hAnsi="Arial" w:cs="Arial"/>
          <w:sz w:val="24"/>
          <w:szCs w:val="24"/>
        </w:rPr>
        <w:t xml:space="preserve">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Pr="00CB6809">
        <w:rPr>
          <w:rFonts w:ascii="Arial" w:eastAsia="Calibri" w:hAnsi="Arial" w:cs="Arial"/>
          <w:sz w:val="24"/>
          <w:szCs w:val="24"/>
        </w:rPr>
        <w:t>promoción tend</w:t>
      </w:r>
      <w:r w:rsidR="00512C49">
        <w:rPr>
          <w:rFonts w:ascii="Arial" w:eastAsia="Calibri" w:hAnsi="Arial" w:cs="Arial"/>
          <w:sz w:val="24"/>
          <w:szCs w:val="24"/>
        </w:rPr>
        <w:t>i</w:t>
      </w:r>
      <w:r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Pr="00CB6809">
        <w:rPr>
          <w:rFonts w:ascii="Arial" w:eastAsia="Calibri" w:hAnsi="Arial" w:cs="Arial"/>
          <w:sz w:val="24"/>
          <w:szCs w:val="24"/>
        </w:rPr>
        <w:t xml:space="preserve">, o sin que se hubiese celebrado acto procesal alguno, por lo que se actualiza la causal de sobreseimiento de estudio, toda vez, que se considera un desinterés tácito de la parte actora </w:t>
      </w:r>
      <w:r w:rsidR="00D744F4">
        <w:rPr>
          <w:rFonts w:ascii="Arial" w:eastAsia="Calibri" w:hAnsi="Arial" w:cs="Arial"/>
          <w:b/>
          <w:bCs/>
          <w:sz w:val="24"/>
          <w:szCs w:val="24"/>
        </w:rPr>
        <w:t>**********</w:t>
      </w:r>
      <w:r w:rsidR="00085AC4">
        <w:rPr>
          <w:rFonts w:ascii="Arial" w:eastAsia="Calibri" w:hAnsi="Arial" w:cs="Arial"/>
          <w:b/>
          <w:bCs/>
          <w:sz w:val="24"/>
          <w:szCs w:val="24"/>
        </w:rPr>
        <w:t xml:space="preserve"> </w:t>
      </w:r>
      <w:r w:rsidR="00C56260" w:rsidRPr="00C56260">
        <w:rPr>
          <w:rFonts w:ascii="Arial" w:eastAsia="Calibri" w:hAnsi="Arial" w:cs="Arial"/>
          <w:bCs/>
          <w:sz w:val="24"/>
          <w:szCs w:val="24"/>
        </w:rPr>
        <w:t xml:space="preserve">por conducto </w:t>
      </w:r>
      <w:r w:rsidR="00FF7DDE">
        <w:rPr>
          <w:rFonts w:ascii="Arial" w:eastAsia="Calibri" w:hAnsi="Arial" w:cs="Arial"/>
          <w:bCs/>
          <w:sz w:val="24"/>
          <w:szCs w:val="24"/>
        </w:rPr>
        <w:t xml:space="preserve">su representante legal </w:t>
      </w:r>
      <w:r w:rsidR="00D744F4">
        <w:rPr>
          <w:rFonts w:ascii="Arial" w:eastAsia="Calibri" w:hAnsi="Arial" w:cs="Arial"/>
          <w:sz w:val="24"/>
          <w:szCs w:val="24"/>
        </w:rPr>
        <w:t>**********</w:t>
      </w:r>
      <w:r w:rsidR="00DE0FF7">
        <w:rPr>
          <w:rFonts w:ascii="Arial" w:eastAsia="Calibri" w:hAnsi="Arial" w:cs="Arial"/>
          <w:sz w:val="24"/>
          <w:szCs w:val="24"/>
        </w:rPr>
        <w:t>,</w:t>
      </w:r>
      <w:r w:rsidR="00955A9C">
        <w:rPr>
          <w:rFonts w:ascii="Arial" w:eastAsia="Calibri" w:hAnsi="Arial" w:cs="Arial"/>
          <w:b/>
          <w:bCs/>
          <w:sz w:val="24"/>
          <w:szCs w:val="24"/>
        </w:rPr>
        <w:t xml:space="preserve"> </w:t>
      </w:r>
      <w:r w:rsidR="00955A9C" w:rsidRPr="004D1CD1">
        <w:rPr>
          <w:rFonts w:ascii="Arial" w:eastAsia="Calibri" w:hAnsi="Arial" w:cs="Arial"/>
          <w:bCs/>
          <w:sz w:val="24"/>
          <w:szCs w:val="24"/>
        </w:rPr>
        <w:t>así como de la</w:t>
      </w:r>
      <w:r w:rsidR="00DE0FF7">
        <w:rPr>
          <w:rFonts w:ascii="Arial" w:eastAsia="Calibri" w:hAnsi="Arial" w:cs="Arial"/>
          <w:bCs/>
          <w:sz w:val="24"/>
          <w:szCs w:val="24"/>
        </w:rPr>
        <w:t>s</w:t>
      </w:r>
      <w:r w:rsidR="00955A9C" w:rsidRPr="004D1CD1">
        <w:rPr>
          <w:rFonts w:ascii="Arial" w:eastAsia="Calibri" w:hAnsi="Arial" w:cs="Arial"/>
          <w:b/>
          <w:bCs/>
          <w:sz w:val="24"/>
          <w:szCs w:val="24"/>
        </w:rPr>
        <w:t xml:space="preserve"> </w:t>
      </w:r>
      <w:r w:rsidR="00955A9C" w:rsidRPr="00D11EF7">
        <w:rPr>
          <w:rFonts w:ascii="Arial" w:eastAsia="Calibri" w:hAnsi="Arial" w:cs="Arial"/>
          <w:bCs/>
          <w:sz w:val="24"/>
          <w:szCs w:val="24"/>
        </w:rPr>
        <w:t>autoridad</w:t>
      </w:r>
      <w:r w:rsidR="00DE0FF7">
        <w:rPr>
          <w:rFonts w:ascii="Arial" w:eastAsia="Calibri" w:hAnsi="Arial" w:cs="Arial"/>
          <w:bCs/>
          <w:sz w:val="24"/>
          <w:szCs w:val="24"/>
        </w:rPr>
        <w:t>es</w:t>
      </w:r>
      <w:r w:rsidR="00955A9C" w:rsidRPr="00D11EF7">
        <w:rPr>
          <w:rFonts w:ascii="Arial" w:eastAsia="Calibri" w:hAnsi="Arial" w:cs="Arial"/>
          <w:bCs/>
          <w:sz w:val="24"/>
          <w:szCs w:val="24"/>
        </w:rPr>
        <w:t xml:space="preserve"> demandada</w:t>
      </w:r>
      <w:r w:rsidR="00DE0FF7">
        <w:rPr>
          <w:rFonts w:ascii="Arial" w:eastAsia="Calibri" w:hAnsi="Arial" w:cs="Arial"/>
          <w:bCs/>
          <w:sz w:val="24"/>
          <w:szCs w:val="24"/>
        </w:rPr>
        <w:t>s</w:t>
      </w:r>
      <w:r w:rsidR="00955A9C" w:rsidRPr="004D1CD1">
        <w:rPr>
          <w:rFonts w:ascii="Arial" w:eastAsia="Calibri" w:hAnsi="Arial" w:cs="Arial"/>
          <w:b/>
          <w:bCs/>
          <w:sz w:val="24"/>
          <w:szCs w:val="24"/>
        </w:rPr>
        <w:t xml:space="preserve"> </w:t>
      </w:r>
      <w:r w:rsidR="00D744F4">
        <w:rPr>
          <w:rFonts w:ascii="Arial" w:eastAsia="Calibri" w:hAnsi="Arial" w:cs="Arial"/>
          <w:b/>
          <w:bCs/>
          <w:sz w:val="24"/>
          <w:szCs w:val="24"/>
        </w:rPr>
        <w:t>**********</w:t>
      </w:r>
      <w:r w:rsidR="00DE0FF7">
        <w:rPr>
          <w:rFonts w:ascii="Arial" w:eastAsia="Calibri" w:hAnsi="Arial" w:cs="Arial"/>
          <w:b/>
          <w:bCs/>
          <w:sz w:val="24"/>
          <w:szCs w:val="24"/>
        </w:rPr>
        <w:t>,</w:t>
      </w:r>
      <w:r w:rsidR="003F76CF">
        <w:rPr>
          <w:rFonts w:ascii="Arial" w:eastAsia="Calibri" w:hAnsi="Arial" w:cs="Arial"/>
          <w:b/>
          <w:bCs/>
          <w:sz w:val="24"/>
          <w:szCs w:val="24"/>
        </w:rPr>
        <w:t xml:space="preserve"> </w:t>
      </w:r>
      <w:r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bookmarkEnd w:id="1"/>
    </w:p>
    <w:p w14:paraId="492751EC" w14:textId="0A300976" w:rsidR="0077682B" w:rsidRPr="00FD6C13" w:rsidRDefault="0077682B" w:rsidP="0077682B">
      <w:pPr>
        <w:tabs>
          <w:tab w:val="left" w:pos="8172"/>
        </w:tabs>
        <w:spacing w:after="200" w:line="360" w:lineRule="auto"/>
        <w:jc w:val="both"/>
        <w:rPr>
          <w:rFonts w:ascii="Arial" w:eastAsia="Calibri" w:hAnsi="Arial" w:cs="Arial"/>
          <w:b/>
          <w:bCs/>
          <w:i/>
          <w:iCs/>
          <w:sz w:val="24"/>
          <w:szCs w:val="24"/>
        </w:rPr>
      </w:pPr>
      <w:r w:rsidRPr="00844694">
        <w:rPr>
          <w:rFonts w:ascii="Arial" w:eastAsia="Calibri" w:hAnsi="Arial" w:cs="Arial"/>
          <w:sz w:val="24"/>
          <w:szCs w:val="24"/>
        </w:rPr>
        <w:t xml:space="preserve">Con el fin de ilustrar </w:t>
      </w:r>
      <w:r>
        <w:rPr>
          <w:rFonts w:ascii="Arial" w:eastAsia="Calibri" w:hAnsi="Arial" w:cs="Arial"/>
          <w:sz w:val="24"/>
          <w:szCs w:val="24"/>
        </w:rPr>
        <w:t xml:space="preserve">el transcurso de los cien días naturales aducidos </w:t>
      </w:r>
      <w:r w:rsidRPr="00844694">
        <w:rPr>
          <w:rFonts w:ascii="Arial" w:eastAsia="Calibri" w:hAnsi="Arial" w:cs="Arial"/>
          <w:sz w:val="24"/>
          <w:szCs w:val="24"/>
        </w:rPr>
        <w:t xml:space="preserve">para </w:t>
      </w:r>
      <w:r>
        <w:rPr>
          <w:rFonts w:ascii="Arial" w:eastAsia="Calibri" w:hAnsi="Arial" w:cs="Arial"/>
          <w:sz w:val="24"/>
          <w:szCs w:val="24"/>
        </w:rPr>
        <w:t>que opere el sobreseimiento</w:t>
      </w:r>
      <w:r w:rsidRPr="00844694">
        <w:rPr>
          <w:rFonts w:ascii="Arial" w:eastAsia="Calibri" w:hAnsi="Arial" w:cs="Arial"/>
          <w:sz w:val="24"/>
          <w:szCs w:val="24"/>
        </w:rPr>
        <w:t>, se procede a mostrar el siguiente cuadro:</w:t>
      </w:r>
      <w:r>
        <w:rPr>
          <w:rFonts w:ascii="Arial" w:eastAsia="Calibri" w:hAnsi="Arial" w:cs="Arial"/>
          <w:sz w:val="24"/>
          <w:szCs w:val="24"/>
        </w:rPr>
        <w:t xml:space="preserve">-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342AA632" w:rsidR="0077682B" w:rsidRPr="00DE1E40" w:rsidRDefault="0077682B" w:rsidP="00936A2C">
            <w:pPr>
              <w:jc w:val="center"/>
              <w:rPr>
                <w:b/>
              </w:rPr>
            </w:pPr>
            <w:r w:rsidRPr="00DE1E40">
              <w:rPr>
                <w:b/>
              </w:rPr>
              <w:t xml:space="preserve">Días transcurridos al </w:t>
            </w:r>
            <w:r w:rsidR="00FD6C13">
              <w:rPr>
                <w:b/>
              </w:rPr>
              <w:t>12 DE JUNIO</w:t>
            </w:r>
            <w:r w:rsidR="00165196">
              <w:rPr>
                <w:b/>
              </w:rPr>
              <w:t xml:space="preserve"> </w:t>
            </w:r>
            <w:r w:rsidRPr="00DE1E40">
              <w:rPr>
                <w:b/>
              </w:rPr>
              <w:t>de 2024</w:t>
            </w:r>
          </w:p>
        </w:tc>
      </w:tr>
      <w:tr w:rsidR="0077682B" w:rsidRPr="00DE1E40" w14:paraId="38B891BB" w14:textId="77777777" w:rsidTr="0031290A">
        <w:trPr>
          <w:trHeight w:val="878"/>
        </w:trPr>
        <w:tc>
          <w:tcPr>
            <w:tcW w:w="1858" w:type="dxa"/>
          </w:tcPr>
          <w:p w14:paraId="0855FB78" w14:textId="1771148F" w:rsidR="0077682B" w:rsidRPr="00DE1E40" w:rsidRDefault="00FD6C13" w:rsidP="00740DEE">
            <w:pPr>
              <w:jc w:val="center"/>
              <w:rPr>
                <w:bCs/>
                <w:sz w:val="22"/>
                <w:szCs w:val="22"/>
              </w:rPr>
            </w:pPr>
            <w:r>
              <w:rPr>
                <w:bCs/>
                <w:sz w:val="22"/>
                <w:szCs w:val="22"/>
              </w:rPr>
              <w:t>18/AGOSTO/23</w:t>
            </w:r>
          </w:p>
        </w:tc>
        <w:tc>
          <w:tcPr>
            <w:tcW w:w="2091" w:type="dxa"/>
          </w:tcPr>
          <w:p w14:paraId="659CD813" w14:textId="2AAB517E" w:rsidR="0077682B" w:rsidRPr="00DE1E40" w:rsidRDefault="00FD6C13" w:rsidP="00991831">
            <w:pPr>
              <w:jc w:val="center"/>
              <w:rPr>
                <w:sz w:val="22"/>
                <w:szCs w:val="22"/>
              </w:rPr>
            </w:pPr>
            <w:r>
              <w:rPr>
                <w:sz w:val="22"/>
                <w:szCs w:val="22"/>
              </w:rPr>
              <w:t>28/NOV/23</w:t>
            </w:r>
          </w:p>
        </w:tc>
        <w:tc>
          <w:tcPr>
            <w:tcW w:w="1990" w:type="dxa"/>
          </w:tcPr>
          <w:p w14:paraId="4D1A348E" w14:textId="11FF5D8E" w:rsidR="0077682B" w:rsidRPr="00DE1E40" w:rsidRDefault="00FD6C13" w:rsidP="00CC0CE6">
            <w:pPr>
              <w:jc w:val="center"/>
              <w:rPr>
                <w:sz w:val="22"/>
                <w:szCs w:val="22"/>
              </w:rPr>
            </w:pPr>
            <w:r>
              <w:rPr>
                <w:sz w:val="22"/>
                <w:szCs w:val="22"/>
              </w:rPr>
              <w:t>29/NOV/23</w:t>
            </w:r>
          </w:p>
        </w:tc>
        <w:tc>
          <w:tcPr>
            <w:tcW w:w="2551" w:type="dxa"/>
          </w:tcPr>
          <w:p w14:paraId="015F1BC2" w14:textId="0BC73BCA" w:rsidR="0077682B" w:rsidRPr="00DE1E40" w:rsidRDefault="001B7DBC" w:rsidP="00FF7DDE">
            <w:pPr>
              <w:jc w:val="center"/>
              <w:rPr>
                <w:sz w:val="22"/>
                <w:szCs w:val="22"/>
              </w:rPr>
            </w:pPr>
            <w:r>
              <w:rPr>
                <w:sz w:val="22"/>
                <w:szCs w:val="22"/>
              </w:rPr>
              <w:t>278</w:t>
            </w:r>
          </w:p>
        </w:tc>
      </w:tr>
    </w:tbl>
    <w:p w14:paraId="1BBB8BE1" w14:textId="433D5C97" w:rsidR="0077682B" w:rsidRDefault="00955A9C" w:rsidP="00955A9C">
      <w:pPr>
        <w:tabs>
          <w:tab w:val="left" w:pos="195"/>
          <w:tab w:val="left" w:pos="8172"/>
        </w:tabs>
        <w:spacing w:after="200" w:line="360" w:lineRule="auto"/>
        <w:rPr>
          <w:rFonts w:ascii="Arial" w:eastAsia="Calibri" w:hAnsi="Arial" w:cs="Arial"/>
          <w:sz w:val="24"/>
          <w:szCs w:val="24"/>
        </w:rPr>
      </w:pPr>
      <w:r>
        <w:rPr>
          <w:rFonts w:ascii="Arial" w:eastAsia="Calibri" w:hAnsi="Arial" w:cs="Arial"/>
          <w:sz w:val="24"/>
          <w:szCs w:val="24"/>
        </w:rPr>
        <w:tab/>
      </w:r>
    </w:p>
    <w:p w14:paraId="306A6419" w14:textId="77777777" w:rsidR="001B7DBC" w:rsidRDefault="001B7DBC" w:rsidP="003A62D8">
      <w:pPr>
        <w:tabs>
          <w:tab w:val="left" w:pos="8172"/>
        </w:tabs>
        <w:spacing w:after="200" w:line="360" w:lineRule="auto"/>
        <w:jc w:val="both"/>
        <w:rPr>
          <w:rFonts w:ascii="Arial" w:eastAsia="Calibri" w:hAnsi="Arial" w:cs="Arial"/>
          <w:sz w:val="24"/>
          <w:szCs w:val="24"/>
        </w:rPr>
      </w:pPr>
    </w:p>
    <w:p w14:paraId="54032A32" w14:textId="77777777" w:rsidR="001B7DBC" w:rsidRDefault="00E45DBD" w:rsidP="003A62D8">
      <w:pPr>
        <w:tabs>
          <w:tab w:val="left" w:pos="8172"/>
        </w:tabs>
        <w:spacing w:after="200" w:line="360" w:lineRule="auto"/>
        <w:jc w:val="both"/>
        <w:rPr>
          <w:rFonts w:ascii="Arial" w:eastAsia="Calibri" w:hAnsi="Arial" w:cs="Arial"/>
          <w:sz w:val="24"/>
          <w:szCs w:val="24"/>
          <w:lang w:val="es-ES"/>
        </w:rPr>
      </w:pPr>
      <w:r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Pr="00CB6809">
        <w:rPr>
          <w:rFonts w:ascii="Arial" w:hAnsi="Arial" w:cs="Arial"/>
          <w:sz w:val="24"/>
          <w:szCs w:val="24"/>
          <w:lang w:val="es-ES_tradnl"/>
        </w:rPr>
        <w:t>fracción V</w:t>
      </w:r>
      <w:r w:rsidR="006B4698">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Pr="00CB6809">
        <w:rPr>
          <w:rFonts w:ascii="Arial" w:hAnsi="Arial" w:cs="Arial"/>
          <w:b/>
          <w:bCs/>
          <w:sz w:val="24"/>
          <w:szCs w:val="24"/>
          <w:lang w:val="es-ES_tradnl"/>
        </w:rPr>
        <w:t>cien días naturales</w:t>
      </w:r>
      <w:r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w:t>
      </w:r>
    </w:p>
    <w:p w14:paraId="5F052334" w14:textId="77777777" w:rsidR="001B7DBC" w:rsidRDefault="00E45DBD" w:rsidP="003A62D8">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lastRenderedPageBreak/>
        <w:t>además de que no</w:t>
      </w:r>
      <w:r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sidR="00D50C1F">
        <w:rPr>
          <w:rFonts w:ascii="Arial" w:hAnsi="Arial" w:cs="Arial"/>
          <w:sz w:val="24"/>
          <w:szCs w:val="24"/>
          <w:lang w:val="es-ES_tradnl"/>
        </w:rPr>
        <w:t xml:space="preserve"> </w:t>
      </w:r>
    </w:p>
    <w:p w14:paraId="1FEFF567" w14:textId="77777777" w:rsidR="001B7DBC" w:rsidRDefault="00E45DBD" w:rsidP="003A62D8">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Pr="00CB6809">
        <w:rPr>
          <w:rFonts w:ascii="Arial" w:hAnsi="Arial" w:cs="Arial"/>
          <w:sz w:val="24"/>
          <w:szCs w:val="24"/>
          <w:lang w:val="es-ES_tradnl"/>
        </w:rPr>
        <w:t>fracción V</w:t>
      </w:r>
      <w:r w:rsidR="00A506C6">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xml:space="preserve">- </w:t>
      </w:r>
    </w:p>
    <w:p w14:paraId="487705FD" w14:textId="53A62192" w:rsidR="00B869C9" w:rsidRDefault="00112069" w:rsidP="003A62D8">
      <w:pPr>
        <w:tabs>
          <w:tab w:val="left" w:pos="8172"/>
        </w:tabs>
        <w:spacing w:after="200" w:line="360" w:lineRule="auto"/>
        <w:jc w:val="both"/>
        <w:rPr>
          <w:rFonts w:ascii="Arial" w:eastAsia="Calibri" w:hAnsi="Arial" w:cs="Arial"/>
          <w:sz w:val="24"/>
          <w:szCs w:val="24"/>
          <w:lang w:val="es-ES_tradnl"/>
        </w:rPr>
      </w:pPr>
      <w:r>
        <w:rPr>
          <w:rFonts w:ascii="Arial" w:eastAsia="Calibri" w:hAnsi="Arial" w:cs="Arial"/>
          <w:sz w:val="24"/>
          <w:szCs w:val="24"/>
          <w:lang w:val="es-ES_tradnl"/>
        </w:rPr>
        <w:t xml:space="preserve">Por otra parte, conviene reparar en lo señalado por la tesis jurisprudencial </w:t>
      </w:r>
      <w:r w:rsidRPr="00930DB1">
        <w:rPr>
          <w:rFonts w:ascii="Arial" w:eastAsia="Calibri" w:hAnsi="Arial" w:cs="Arial"/>
          <w:sz w:val="24"/>
          <w:szCs w:val="24"/>
          <w:lang w:val="es-ES_tradnl"/>
        </w:rPr>
        <w:t>PR.A.CS. J/41 A (11a.)</w:t>
      </w:r>
      <w:r>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Pr>
          <w:rFonts w:ascii="Arial" w:eastAsia="Calibri" w:hAnsi="Arial" w:cs="Arial"/>
          <w:sz w:val="24"/>
          <w:szCs w:val="24"/>
          <w:lang w:val="es-ES_tradnl"/>
        </w:rPr>
        <w:t>r</w:t>
      </w:r>
      <w:r w:rsidRPr="00930DB1">
        <w:rPr>
          <w:rFonts w:ascii="Arial" w:eastAsia="Calibri" w:hAnsi="Arial" w:cs="Arial"/>
          <w:sz w:val="24"/>
          <w:szCs w:val="24"/>
          <w:lang w:val="es-ES_tradnl"/>
        </w:rPr>
        <w:t>egistro digital: 2027963, integrada por los Plenos Regionales por contradicción de tesis (ahora criterios), la cual es del rubro y texto siguiente:</w:t>
      </w:r>
      <w:r w:rsidR="008D1023">
        <w:rPr>
          <w:rFonts w:ascii="Arial" w:eastAsia="Calibri" w:hAnsi="Arial" w:cs="Arial"/>
          <w:sz w:val="24"/>
          <w:szCs w:val="24"/>
          <w:lang w:val="es-ES_tradnl"/>
        </w:rPr>
        <w:t xml:space="preserve">-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 xml:space="preserve">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w:t>
      </w:r>
      <w:r w:rsidRPr="00112069">
        <w:rPr>
          <w:rFonts w:ascii="Arial" w:eastAsia="Calibri" w:hAnsi="Arial" w:cs="Arial"/>
          <w:i/>
          <w:iCs/>
          <w:lang w:val="es-ES_tradnl"/>
        </w:rPr>
        <w:lastRenderedPageBreak/>
        <w:t>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2FF820CA" w14:textId="77777777" w:rsidR="001B7DBC" w:rsidRDefault="0010798F"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sidRPr="00664778">
        <w:rPr>
          <w:rFonts w:ascii="Arial" w:eastAsia="Calibri" w:hAnsi="Arial" w:cs="Arial"/>
          <w:sz w:val="24"/>
          <w:szCs w:val="24"/>
          <w:lang w:val="es-ES_tradnl"/>
        </w:rPr>
        <w:t xml:space="preserve">- - - </w:t>
      </w:r>
      <w:r w:rsidR="00112069" w:rsidRPr="00664778">
        <w:rPr>
          <w:rFonts w:ascii="Arial" w:eastAsia="Calibri" w:hAnsi="Arial" w:cs="Arial"/>
          <w:sz w:val="24"/>
          <w:szCs w:val="24"/>
          <w:lang w:val="es-ES_tradnl"/>
        </w:rPr>
        <w:t>Es por ello</w:t>
      </w:r>
      <w:r w:rsidR="005A34BA" w:rsidRPr="00664778">
        <w:rPr>
          <w:rFonts w:ascii="Arial" w:eastAsia="Calibri" w:hAnsi="Arial" w:cs="Arial"/>
          <w:sz w:val="24"/>
          <w:szCs w:val="24"/>
          <w:lang w:val="es-ES_tradnl"/>
        </w:rPr>
        <w:t xml:space="preserve"> </w:t>
      </w:r>
      <w:proofErr w:type="gramStart"/>
      <w:r w:rsidR="00112069" w:rsidRPr="00664778">
        <w:rPr>
          <w:rFonts w:ascii="Arial" w:eastAsia="Calibri" w:hAnsi="Arial" w:cs="Arial"/>
          <w:sz w:val="24"/>
          <w:szCs w:val="24"/>
          <w:lang w:val="es-ES_tradnl"/>
        </w:rPr>
        <w:t>que</w:t>
      </w:r>
      <w:proofErr w:type="gramEnd"/>
      <w:r w:rsidR="00112069" w:rsidRPr="00664778">
        <w:rPr>
          <w:rFonts w:ascii="Arial" w:eastAsia="Calibri" w:hAnsi="Arial" w:cs="Arial"/>
          <w:sz w:val="24"/>
          <w:szCs w:val="24"/>
          <w:lang w:val="es-ES_tradnl"/>
        </w:rPr>
        <w:t xml:space="preserve"> </w:t>
      </w:r>
      <w:r w:rsidR="00FE795A" w:rsidRPr="00664778">
        <w:rPr>
          <w:rFonts w:ascii="Arial" w:eastAsia="Calibri" w:hAnsi="Arial" w:cs="Arial"/>
          <w:sz w:val="24"/>
          <w:szCs w:val="24"/>
          <w:lang w:val="es-ES_tradnl"/>
        </w:rPr>
        <w:t>el sobreseimiento</w:t>
      </w:r>
      <w:r w:rsidR="005A34BA" w:rsidRPr="00664778">
        <w:rPr>
          <w:rFonts w:ascii="Arial" w:eastAsia="Calibri" w:hAnsi="Arial" w:cs="Arial"/>
          <w:sz w:val="24"/>
          <w:szCs w:val="24"/>
          <w:lang w:val="es-ES_tradnl"/>
        </w:rPr>
        <w:t>, que en el caso concreto surte</w:t>
      </w:r>
      <w:r w:rsidR="00D66C92" w:rsidRPr="00664778">
        <w:rPr>
          <w:rFonts w:ascii="Arial" w:eastAsia="Calibri" w:hAnsi="Arial" w:cs="Arial"/>
          <w:sz w:val="24"/>
          <w:szCs w:val="24"/>
          <w:lang w:val="es-ES_tradnl"/>
        </w:rPr>
        <w:t xml:space="preserve"> y persigue</w:t>
      </w:r>
      <w:r w:rsidR="005A34BA" w:rsidRPr="00664778">
        <w:rPr>
          <w:rFonts w:ascii="Arial" w:eastAsia="Calibri" w:hAnsi="Arial" w:cs="Arial"/>
          <w:sz w:val="24"/>
          <w:szCs w:val="24"/>
          <w:lang w:val="es-ES_tradnl"/>
        </w:rPr>
        <w:t xml:space="preserve"> los mismos efectos que el de la caducidad aducida en el criterio anterior, </w:t>
      </w:r>
      <w:r w:rsidR="00112069" w:rsidRPr="00664778">
        <w:rPr>
          <w:rFonts w:ascii="Arial" w:eastAsia="Calibri" w:hAnsi="Arial" w:cs="Arial"/>
          <w:sz w:val="24"/>
          <w:szCs w:val="24"/>
          <w:lang w:val="es-ES_tradnl"/>
        </w:rPr>
        <w:t xml:space="preserve">tiene por objeto poner fin a la indefinición de los juicios por inactividad procesal para con ello </w:t>
      </w:r>
      <w:r w:rsidR="00112069" w:rsidRPr="0010798F">
        <w:rPr>
          <w:rFonts w:ascii="Arial" w:eastAsia="Calibri" w:hAnsi="Arial" w:cs="Arial"/>
          <w:sz w:val="24"/>
          <w:szCs w:val="24"/>
          <w:lang w:val="es-ES_tradnl"/>
        </w:rPr>
        <w:t xml:space="preserve">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00112069"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p>
    <w:p w14:paraId="0EAC54D3" w14:textId="77777777" w:rsidR="001B7DBC" w:rsidRDefault="0010798F"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Pr>
          <w:rFonts w:ascii="Arial" w:eastAsia="Calibri" w:hAnsi="Arial" w:cs="Arial"/>
          <w:sz w:val="24"/>
          <w:szCs w:val="24"/>
          <w:lang w:val="es-ES_tradnl"/>
        </w:rPr>
        <w:t>A</w:t>
      </w:r>
      <w:r w:rsidR="00112069"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w:t>
      </w:r>
    </w:p>
    <w:p w14:paraId="478710C1" w14:textId="77777777" w:rsidR="001B7DBC" w:rsidRDefault="00112069"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sidRPr="0010798F">
        <w:rPr>
          <w:rFonts w:ascii="Arial" w:eastAsia="Calibri" w:hAnsi="Arial" w:cs="Arial"/>
          <w:sz w:val="24"/>
          <w:szCs w:val="24"/>
          <w:lang w:val="es-ES_tradnl"/>
        </w:rPr>
        <w:lastRenderedPageBreak/>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Pr="0010798F">
        <w:rPr>
          <w:rFonts w:ascii="Arial" w:eastAsia="Calibri" w:hAnsi="Arial" w:cs="Arial"/>
          <w:sz w:val="24"/>
          <w:szCs w:val="24"/>
          <w:lang w:val="es-ES_tradnl"/>
        </w:rPr>
        <w:t>, es innecesario requerir a las partes previamente a su declaración.</w:t>
      </w:r>
      <w:r w:rsidR="0010798F">
        <w:rPr>
          <w:rFonts w:ascii="Arial" w:eastAsia="Calibri" w:hAnsi="Arial" w:cs="Arial"/>
          <w:sz w:val="24"/>
          <w:szCs w:val="24"/>
          <w:lang w:val="es-ES_tradnl"/>
        </w:rPr>
        <w:t xml:space="preserve">- </w:t>
      </w:r>
    </w:p>
    <w:p w14:paraId="4CDCDD24" w14:textId="7420B6D0" w:rsidR="001B7DBC" w:rsidRDefault="00E45DBD" w:rsidP="003A62D8">
      <w:pPr>
        <w:tabs>
          <w:tab w:val="left" w:pos="8172"/>
        </w:tabs>
        <w:spacing w:before="100" w:beforeAutospacing="1" w:after="100" w:afterAutospacing="1" w:line="360" w:lineRule="auto"/>
        <w:jc w:val="both"/>
        <w:rPr>
          <w:rFonts w:ascii="Arial" w:eastAsia="Calibri" w:hAnsi="Arial" w:cs="Arial"/>
          <w:color w:val="000000"/>
          <w:sz w:val="24"/>
          <w:szCs w:val="24"/>
        </w:rPr>
      </w:pPr>
      <w:r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Pr="00D50C1F">
        <w:rPr>
          <w:rFonts w:ascii="Arial" w:eastAsia="Calibri" w:hAnsi="Arial" w:cs="Arial"/>
          <w:sz w:val="24"/>
          <w:szCs w:val="24"/>
          <w:lang w:val="es-ES_tradnl"/>
        </w:rPr>
        <w:t xml:space="preserve">Tribunal de Justicia Administrativa del Estado de Sonora, </w:t>
      </w:r>
      <w:r w:rsidRPr="00017183">
        <w:rPr>
          <w:rFonts w:ascii="Arial" w:eastAsia="Calibri" w:hAnsi="Arial" w:cs="Arial"/>
          <w:b/>
          <w:color w:val="000000"/>
          <w:sz w:val="24"/>
          <w:szCs w:val="24"/>
        </w:rPr>
        <w:t>decreta el sobreseimiento del presente juicio</w:t>
      </w:r>
      <w:r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Pr="00D50C1F">
        <w:rPr>
          <w:rFonts w:ascii="Arial" w:eastAsia="Calibri" w:hAnsi="Arial" w:cs="Arial"/>
          <w:color w:val="000000"/>
          <w:sz w:val="24"/>
          <w:szCs w:val="24"/>
        </w:rPr>
        <w:t xml:space="preserve"> de la Ley de Justicia Administrativa para el Estado de Sonora. </w:t>
      </w:r>
      <w:r w:rsidR="001B7DBC">
        <w:rPr>
          <w:rFonts w:ascii="Arial" w:eastAsia="Calibri" w:hAnsi="Arial" w:cs="Arial"/>
          <w:color w:val="000000"/>
          <w:sz w:val="24"/>
          <w:szCs w:val="24"/>
        </w:rPr>
        <w:t>–</w:t>
      </w:r>
      <w:r w:rsidR="00D50C1F">
        <w:rPr>
          <w:rFonts w:ascii="Arial" w:eastAsia="Calibri" w:hAnsi="Arial" w:cs="Arial"/>
          <w:color w:val="000000"/>
          <w:sz w:val="24"/>
          <w:szCs w:val="24"/>
        </w:rPr>
        <w:t xml:space="preserve"> </w:t>
      </w:r>
    </w:p>
    <w:p w14:paraId="3D4F21D2" w14:textId="60DDD84F" w:rsidR="00D50C1F" w:rsidRDefault="00D50C1F" w:rsidP="003A62D8">
      <w:pPr>
        <w:tabs>
          <w:tab w:val="left" w:pos="8172"/>
        </w:tabs>
        <w:spacing w:before="100" w:beforeAutospacing="1" w:after="100" w:afterAutospacing="1" w:line="360" w:lineRule="auto"/>
        <w:jc w:val="both"/>
        <w:rPr>
          <w:rFonts w:ascii="Arial" w:eastAsia="Times New Roman" w:hAnsi="Arial" w:cs="Arial"/>
          <w:b/>
          <w:bCs/>
          <w:sz w:val="24"/>
          <w:szCs w:val="24"/>
          <w:lang w:val="es-ES" w:eastAsia="es-ES"/>
        </w:rPr>
      </w:pPr>
      <w:r w:rsidRPr="00D50C1F">
        <w:rPr>
          <w:rFonts w:ascii="Arial" w:hAnsi="Arial" w:cs="Arial"/>
          <w:b/>
          <w:sz w:val="24"/>
          <w:szCs w:val="24"/>
        </w:rPr>
        <w:t>NOTIFÍQUESE PERSONALMENTE</w:t>
      </w:r>
      <w:r w:rsidRPr="00D50C1F">
        <w:rPr>
          <w:rFonts w:ascii="Arial" w:hAnsi="Arial" w:cs="Arial"/>
          <w:sz w:val="24"/>
          <w:szCs w:val="24"/>
        </w:rPr>
        <w:t xml:space="preserve"> el presente acuerdo para todos los efectos legales, de conformidad al artículo 39 [fracción I, inciso </w:t>
      </w:r>
      <w:r w:rsidR="00A667E5">
        <w:rPr>
          <w:rFonts w:ascii="Arial" w:hAnsi="Arial" w:cs="Arial"/>
          <w:sz w:val="24"/>
          <w:szCs w:val="24"/>
        </w:rPr>
        <w:t>f)</w:t>
      </w:r>
      <w:r w:rsidRPr="00D50C1F">
        <w:rPr>
          <w:rFonts w:ascii="Arial" w:hAnsi="Arial" w:cs="Arial"/>
          <w:sz w:val="24"/>
          <w:szCs w:val="24"/>
        </w:rPr>
        <w:t>] de la Ley de Justicia Administrativa para el Estado de Sonora.</w:t>
      </w:r>
      <w:r>
        <w:rPr>
          <w:rFonts w:ascii="Arial" w:hAnsi="Arial" w:cs="Arial"/>
          <w:sz w:val="24"/>
          <w:szCs w:val="24"/>
        </w:rPr>
        <w:t xml:space="preserve">- </w:t>
      </w:r>
      <w:bookmarkEnd w:id="0"/>
      <w:r w:rsidRPr="00D50C1F">
        <w:rPr>
          <w:rFonts w:ascii="Arial" w:eastAsia="Times New Roman" w:hAnsi="Arial" w:cs="Arial"/>
          <w:b/>
          <w:sz w:val="24"/>
          <w:szCs w:val="24"/>
          <w:lang w:val="es-ES" w:eastAsia="es-ES"/>
        </w:rPr>
        <w:t>ASÍ</w:t>
      </w:r>
      <w:r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Pr="00D50C1F">
        <w:rPr>
          <w:rFonts w:ascii="Arial" w:eastAsia="Times New Roman" w:hAnsi="Arial" w:cs="Arial"/>
          <w:sz w:val="24"/>
          <w:szCs w:val="24"/>
          <w:lang w:val="es-ES" w:eastAsia="es-ES"/>
        </w:rPr>
        <w:t>del Tribunal de Justicia Administrativa por unanimidad de votos de los Magistrados José Santiago Encinas Velarde</w:t>
      </w:r>
      <w:r w:rsidRPr="00D50C1F">
        <w:rPr>
          <w:rFonts w:ascii="Arial" w:hAnsi="Arial" w:cs="Arial"/>
          <w:sz w:val="24"/>
          <w:szCs w:val="24"/>
        </w:rPr>
        <w:t>, Renato Alberto</w:t>
      </w:r>
      <w:r w:rsidRPr="00D50C1F">
        <w:rPr>
          <w:rFonts w:ascii="Arial" w:hAnsi="Arial" w:cs="Arial"/>
          <w:b/>
          <w:sz w:val="24"/>
          <w:szCs w:val="24"/>
        </w:rPr>
        <w:t xml:space="preserve"> </w:t>
      </w:r>
      <w:r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Pr="00D50C1F">
        <w:rPr>
          <w:rFonts w:ascii="Arial" w:eastAsia="Times New Roman" w:hAnsi="Arial" w:cs="Arial"/>
          <w:sz w:val="24"/>
          <w:szCs w:val="24"/>
          <w:lang w:val="es-ES" w:eastAsia="es-ES"/>
        </w:rPr>
        <w:t xml:space="preserve">, </w:t>
      </w:r>
      <w:r w:rsidRPr="00D50C1F">
        <w:rPr>
          <w:rFonts w:ascii="Arial" w:hAnsi="Arial" w:cs="Arial"/>
          <w:sz w:val="24"/>
          <w:szCs w:val="24"/>
        </w:rPr>
        <w:t>Blanca Sobeida Viera Barajas y Guadalupe María Mendívil Corral</w:t>
      </w:r>
      <w:r w:rsidRPr="00D50C1F">
        <w:rPr>
          <w:rFonts w:ascii="Arial" w:eastAsia="Times New Roman" w:hAnsi="Arial" w:cs="Arial"/>
          <w:sz w:val="24"/>
          <w:szCs w:val="24"/>
          <w:lang w:val="es-ES" w:eastAsia="es-ES"/>
        </w:rPr>
        <w:t xml:space="preserve"> </w:t>
      </w:r>
      <w:r w:rsidRPr="0010798F">
        <w:rPr>
          <w:rFonts w:ascii="Arial" w:eastAsia="Times New Roman" w:hAnsi="Arial" w:cs="Arial"/>
          <w:sz w:val="24"/>
          <w:szCs w:val="24"/>
          <w:lang w:val="es-ES" w:eastAsia="es-ES"/>
        </w:rPr>
        <w:t>siendo ponente el segundo en orden de los nombrados, quienes</w:t>
      </w:r>
      <w:r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Pr="00D50C1F">
        <w:rPr>
          <w:rFonts w:ascii="Arial" w:eastAsia="Times New Roman" w:hAnsi="Arial" w:cs="Arial"/>
          <w:sz w:val="24"/>
          <w:szCs w:val="24"/>
          <w:lang w:val="es-ES" w:eastAsia="es-ES"/>
        </w:rPr>
        <w:t xml:space="preserve">que autoriza y da fe.- </w:t>
      </w:r>
      <w:r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AAF3F66" w14:textId="77777777" w:rsidR="005225BA" w:rsidRDefault="005225BA"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Magistrado Presidente</w:t>
      </w:r>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77777777" w:rsidR="00170E19" w:rsidRPr="00962EF3"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6FB7A9CE"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3FA44DC" w14:textId="77777777" w:rsidR="00A91418"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lastRenderedPageBreak/>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77777777"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6330A408" w:rsidR="00DD3A7B"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C11A756" w14:textId="77777777" w:rsidR="00A91418" w:rsidRPr="00962EF3"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2C4D85AE"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50E2C38" w14:textId="7BC3292C" w:rsidR="00A91418"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90F6C1B" w14:textId="77777777" w:rsidR="00A91418" w:rsidRPr="00962EF3"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2FB309AC"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0286D85D" w14:textId="0A272933" w:rsidR="00A91418" w:rsidRDefault="00A91418" w:rsidP="005225BA">
      <w:pPr>
        <w:tabs>
          <w:tab w:val="left" w:pos="8172"/>
        </w:tabs>
        <w:spacing w:after="0" w:line="240" w:lineRule="auto"/>
        <w:contextualSpacing/>
        <w:jc w:val="center"/>
        <w:rPr>
          <w:rFonts w:ascii="Arial" w:hAnsi="Arial" w:cs="Arial"/>
          <w:color w:val="000000"/>
          <w:spacing w:val="8"/>
          <w:sz w:val="24"/>
          <w:szCs w:val="24"/>
          <w:lang w:val="es-ES"/>
        </w:rPr>
      </w:pPr>
    </w:p>
    <w:p w14:paraId="1B6452F6" w14:textId="77777777" w:rsidR="00A91418" w:rsidRDefault="00A91418"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77777777"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2B9317C" w14:textId="77777777" w:rsidR="00D50C1F" w:rsidRPr="00962EF3" w:rsidRDefault="00D50C1F" w:rsidP="00CD216C">
      <w:pPr>
        <w:tabs>
          <w:tab w:val="left" w:pos="8172"/>
        </w:tabs>
        <w:spacing w:before="100" w:beforeAutospacing="1" w:after="0" w:line="360" w:lineRule="auto"/>
        <w:ind w:firstLine="1418"/>
        <w:jc w:val="center"/>
        <w:rPr>
          <w:rFonts w:ascii="Arial" w:eastAsia="Times New Roman" w:hAnsi="Arial" w:cs="Arial"/>
          <w:sz w:val="24"/>
          <w:szCs w:val="24"/>
          <w:lang w:val="es-ES_tradnl" w:eastAsia="es-ES"/>
        </w:rPr>
      </w:pPr>
    </w:p>
    <w:p w14:paraId="04301977" w14:textId="29A3105E" w:rsidR="00D50C1F" w:rsidRPr="00962EF3" w:rsidRDefault="00D50C1F" w:rsidP="003A62D8">
      <w:pPr>
        <w:tabs>
          <w:tab w:val="left" w:pos="8172"/>
        </w:tabs>
        <w:spacing w:before="100" w:beforeAutospacing="1" w:after="0" w:line="360"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w:t>
      </w:r>
      <w:r w:rsidRPr="00A91418">
        <w:rPr>
          <w:rFonts w:ascii="Arial" w:eastAsia="Times New Roman" w:hAnsi="Arial" w:cs="Arial"/>
          <w:sz w:val="24"/>
          <w:szCs w:val="24"/>
          <w:lang w:val="es-ES_tradnl" w:eastAsia="es-ES"/>
        </w:rPr>
        <w:t xml:space="preserve">día </w:t>
      </w:r>
      <w:r w:rsidR="00A91418">
        <w:rPr>
          <w:rFonts w:ascii="Arial" w:eastAsia="Times New Roman" w:hAnsi="Arial" w:cs="Arial"/>
          <w:sz w:val="24"/>
          <w:szCs w:val="24"/>
          <w:lang w:val="es-ES_tradnl" w:eastAsia="es-ES"/>
        </w:rPr>
        <w:t>catorce</w:t>
      </w:r>
      <w:r w:rsidR="00FE795A" w:rsidRPr="00A91418">
        <w:rPr>
          <w:rFonts w:ascii="Arial" w:eastAsia="Times New Roman" w:hAnsi="Arial" w:cs="Arial"/>
          <w:sz w:val="24"/>
          <w:szCs w:val="24"/>
          <w:lang w:val="es-ES_tradnl" w:eastAsia="es-ES"/>
        </w:rPr>
        <w:t xml:space="preserve"> </w:t>
      </w:r>
      <w:r w:rsidR="007C3DE1" w:rsidRPr="00A91418">
        <w:rPr>
          <w:rFonts w:ascii="Arial" w:eastAsia="Times New Roman" w:hAnsi="Arial" w:cs="Arial"/>
          <w:sz w:val="24"/>
          <w:szCs w:val="24"/>
          <w:lang w:val="es-ES_tradnl" w:eastAsia="es-ES"/>
        </w:rPr>
        <w:t>de</w:t>
      </w:r>
      <w:r w:rsidR="001B7DBC">
        <w:rPr>
          <w:rFonts w:ascii="Arial" w:eastAsia="Times New Roman" w:hAnsi="Arial" w:cs="Arial"/>
          <w:sz w:val="24"/>
          <w:szCs w:val="24"/>
          <w:lang w:val="es-ES_tradnl" w:eastAsia="es-ES"/>
        </w:rPr>
        <w:t xml:space="preserve"> junio</w:t>
      </w:r>
      <w:r w:rsidR="007C3DE1">
        <w:rPr>
          <w:rFonts w:ascii="Arial" w:eastAsia="Times New Roman" w:hAnsi="Arial" w:cs="Arial"/>
          <w:sz w:val="24"/>
          <w:szCs w:val="24"/>
          <w:lang w:val="es-ES_tradnl" w:eastAsia="es-ES"/>
        </w:rPr>
        <w:t xml:space="preserve">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15164E34" w14:textId="77777777" w:rsidR="001B7DBC" w:rsidRDefault="001B7DBC" w:rsidP="00B643EE">
      <w:pPr>
        <w:tabs>
          <w:tab w:val="left" w:pos="8172"/>
        </w:tabs>
        <w:spacing w:line="240" w:lineRule="auto"/>
        <w:ind w:firstLine="708"/>
        <w:contextualSpacing/>
        <w:jc w:val="both"/>
        <w:rPr>
          <w:rFonts w:eastAsia="Batang"/>
          <w:b/>
          <w:kern w:val="20"/>
          <w:sz w:val="16"/>
          <w:lang w:val="es-ES_tradnl"/>
        </w:rPr>
      </w:pPr>
    </w:p>
    <w:p w14:paraId="60D44178" w14:textId="08107473" w:rsidR="00213A3E" w:rsidRDefault="00D50C1F" w:rsidP="00B643EE">
      <w:pPr>
        <w:tabs>
          <w:tab w:val="left" w:pos="8172"/>
        </w:tabs>
        <w:spacing w:line="240" w:lineRule="auto"/>
        <w:ind w:firstLine="708"/>
        <w:contextualSpacing/>
        <w:jc w:val="both"/>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w:t>
      </w:r>
      <w:r>
        <w:rPr>
          <w:rFonts w:eastAsia="Batang"/>
          <w:kern w:val="20"/>
          <w:sz w:val="16"/>
          <w:lang w:val="es-ES_tradnl"/>
        </w:rPr>
        <w:t xml:space="preserve">l acuerdo plenario </w:t>
      </w:r>
      <w:r w:rsidRPr="00502BE6">
        <w:rPr>
          <w:rFonts w:eastAsia="Batang"/>
          <w:kern w:val="20"/>
          <w:sz w:val="16"/>
          <w:lang w:val="es-ES_tradnl"/>
        </w:rPr>
        <w:t xml:space="preserve">respecto del Juicio de Nulidad planteado en el Expediente </w:t>
      </w:r>
      <w:r w:rsidR="001B7DBC">
        <w:rPr>
          <w:rFonts w:eastAsia="Batang"/>
          <w:kern w:val="20"/>
          <w:sz w:val="16"/>
          <w:lang w:val="es-ES_tradnl"/>
        </w:rPr>
        <w:t>40/2021 en fecha doce de junio</w:t>
      </w:r>
      <w:r w:rsidR="007C3DE1">
        <w:rPr>
          <w:rFonts w:eastAsia="Batang"/>
          <w:kern w:val="20"/>
          <w:sz w:val="16"/>
          <w:lang w:val="es-ES_tradnl"/>
        </w:rPr>
        <w:t xml:space="preserve"> </w:t>
      </w:r>
      <w:r w:rsidRPr="003A422D">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sidR="00CD216C">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el segundo en orden de los nombrados, quienes firman con el Secretario </w:t>
      </w:r>
      <w:r w:rsidR="00CD216C">
        <w:rPr>
          <w:rFonts w:eastAsia="Batang"/>
          <w:kern w:val="20"/>
          <w:sz w:val="16"/>
          <w:lang w:val="es-ES"/>
        </w:rPr>
        <w:t>de Acuerdos</w:t>
      </w:r>
      <w:r w:rsidRPr="00564402">
        <w:rPr>
          <w:rFonts w:eastAsia="Batang"/>
          <w:kern w:val="20"/>
          <w:sz w:val="16"/>
          <w:lang w:val="es-ES"/>
        </w:rPr>
        <w:t xml:space="preserve">, Maestro Luis </w:t>
      </w:r>
      <w:r w:rsidR="00CD216C">
        <w:rPr>
          <w:rFonts w:eastAsia="Batang"/>
          <w:kern w:val="20"/>
          <w:sz w:val="16"/>
          <w:lang w:val="es-ES"/>
        </w:rPr>
        <w:t xml:space="preserve">Arsenio Duarte Salido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sectPr w:rsidR="00213A3E" w:rsidSect="00991831">
      <w:headerReference w:type="even" r:id="rId8"/>
      <w:headerReference w:type="default" r:id="rId9"/>
      <w:footerReference w:type="even" r:id="rId10"/>
      <w:footerReference w:type="default" r:id="rId11"/>
      <w:headerReference w:type="first" r:id="rId12"/>
      <w:footerReference w:type="first" r:id="rId13"/>
      <w:pgSz w:w="12240" w:h="20160" w:code="5"/>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95F22" w14:textId="77777777" w:rsidR="00654A06" w:rsidRDefault="00654A06" w:rsidP="00E45DBD">
      <w:pPr>
        <w:spacing w:after="0" w:line="240" w:lineRule="auto"/>
      </w:pPr>
      <w:r>
        <w:separator/>
      </w:r>
    </w:p>
  </w:endnote>
  <w:endnote w:type="continuationSeparator" w:id="0">
    <w:p w14:paraId="1FDBB714" w14:textId="77777777" w:rsidR="00654A06" w:rsidRDefault="00654A06"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505F" w14:textId="77777777" w:rsidR="0091289D" w:rsidRDefault="00912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136458"/>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96646E" w:rsidRPr="0096646E">
          <w:rPr>
            <w:noProof/>
            <w:lang w:val="es-ES"/>
          </w:rPr>
          <w:t>6</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9925" w14:textId="77777777" w:rsidR="0091289D" w:rsidRDefault="0091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8B33" w14:textId="77777777" w:rsidR="00654A06" w:rsidRDefault="00654A06" w:rsidP="00E45DBD">
      <w:pPr>
        <w:spacing w:after="0" w:line="240" w:lineRule="auto"/>
      </w:pPr>
      <w:r>
        <w:separator/>
      </w:r>
    </w:p>
  </w:footnote>
  <w:footnote w:type="continuationSeparator" w:id="0">
    <w:p w14:paraId="0BECCD9B" w14:textId="77777777" w:rsidR="00654A06" w:rsidRDefault="00654A06" w:rsidP="00E4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B505" w14:textId="77777777" w:rsidR="0091289D" w:rsidRDefault="00912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26B10790" w:rsidR="00EC6074" w:rsidRDefault="0091289D" w:rsidP="00161C4D">
    <w:pPr>
      <w:pStyle w:val="BodyText"/>
      <w:spacing w:line="14" w:lineRule="auto"/>
      <w:ind w:right="333"/>
      <w:rPr>
        <w:b/>
        <w:i/>
        <w:sz w:val="20"/>
      </w:rPr>
    </w:pPr>
    <w:sdt>
      <w:sdtPr>
        <w:rPr>
          <w:b/>
          <w:i/>
          <w:sz w:val="20"/>
        </w:rPr>
        <w:id w:val="1328475914"/>
        <w:docPartObj>
          <w:docPartGallery w:val="Watermarks"/>
          <w:docPartUnique/>
        </w:docPartObj>
      </w:sdtPr>
      <w:sdtContent>
        <w:r w:rsidRPr="0091289D">
          <w:rPr>
            <w:b/>
            <w:i/>
            <w:noProof/>
            <w:sz w:val="20"/>
          </w:rPr>
          <w:pict w14:anchorId="10010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824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1F728C8C">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F813F47" w:rsidR="00EC6074" w:rsidRDefault="00291CFF" w:rsidP="00C55A72">
    <w:pPr>
      <w:pStyle w:val="Header"/>
      <w:tabs>
        <w:tab w:val="clear" w:pos="4419"/>
      </w:tabs>
      <w:rPr>
        <w:noProof/>
      </w:rPr>
    </w:pPr>
    <w:r>
      <w:rPr>
        <w:noProof/>
      </w:rPr>
      <w:t xml:space="preserve">    </w:t>
    </w:r>
    <w:r w:rsidR="005225BA">
      <w:rPr>
        <w:noProof/>
      </w:rPr>
      <w:t xml:space="preserve">  </w:t>
    </w:r>
    <w:r>
      <w:rPr>
        <w:noProof/>
      </w:rPr>
      <w:t xml:space="preserve">    </w:t>
    </w:r>
    <w:r>
      <w:rPr>
        <w:noProof/>
        <w:lang w:eastAsia="es-MX"/>
      </w:rPr>
      <w:drawing>
        <wp:inline distT="0" distB="0" distL="0" distR="0" wp14:anchorId="5E67F299" wp14:editId="6255F81F">
          <wp:extent cx="1014730" cy="765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000" cy="794417"/>
                  </a:xfrm>
                  <a:prstGeom prst="rect">
                    <a:avLst/>
                  </a:prstGeom>
                  <a:noFill/>
                </pic:spPr>
              </pic:pic>
            </a:graphicData>
          </a:graphic>
        </wp:inline>
      </w:drawing>
    </w:r>
    <w:r>
      <w:rPr>
        <w:noProof/>
      </w:rPr>
      <w:t xml:space="preserve"> </w:t>
    </w:r>
    <w:r w:rsidR="00C55A72">
      <w:rPr>
        <w:noProof/>
      </w:rPr>
      <w:tab/>
    </w:r>
  </w:p>
  <w:p w14:paraId="571F169B" w14:textId="787FBBAF" w:rsidR="00EC6074" w:rsidRDefault="00291CFF" w:rsidP="00161C4D">
    <w:pPr>
      <w:pStyle w:val="Header"/>
      <w:tabs>
        <w:tab w:val="clear" w:pos="8838"/>
        <w:tab w:val="right" w:pos="8505"/>
      </w:tabs>
    </w:pPr>
    <w:r>
      <w:rPr>
        <w:noProof/>
        <w:lang w:eastAsia="es-MX"/>
      </w:rPr>
      <w:drawing>
        <wp:inline distT="0" distB="0" distL="0" distR="0" wp14:anchorId="36E0F4E0" wp14:editId="6F1F0073">
          <wp:extent cx="2018030" cy="323215"/>
          <wp:effectExtent l="0" t="0" r="127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323215"/>
                  </a:xfrm>
                  <a:prstGeom prst="rect">
                    <a:avLst/>
                  </a:prstGeom>
                  <a:noFill/>
                </pic:spPr>
              </pic:pic>
            </a:graphicData>
          </a:graphic>
        </wp:inline>
      </w:drawing>
    </w: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768AA4E7"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Pr="00CB6809">
      <w:rPr>
        <w:b/>
        <w:sz w:val="22"/>
        <w:szCs w:val="22"/>
      </w:rPr>
      <w:t xml:space="preserve">: </w:t>
    </w:r>
    <w:r w:rsidR="009B0752">
      <w:rPr>
        <w:b/>
        <w:sz w:val="22"/>
        <w:szCs w:val="22"/>
      </w:rPr>
      <w:t>40/2021</w:t>
    </w:r>
  </w:p>
  <w:p w14:paraId="0BA76025" w14:textId="77777777" w:rsidR="00161C4D" w:rsidRDefault="00161C4D" w:rsidP="00161C4D">
    <w:pPr>
      <w:pStyle w:val="Header"/>
      <w:tabs>
        <w:tab w:val="clear" w:pos="8838"/>
        <w:tab w:val="right" w:pos="8364"/>
        <w:tab w:val="right" w:pos="8505"/>
      </w:tabs>
      <w:jc w:val="center"/>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9393" w14:textId="77777777" w:rsidR="0091289D" w:rsidRDefault="0091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153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85AC4"/>
    <w:rsid w:val="0009045F"/>
    <w:rsid w:val="000C33B5"/>
    <w:rsid w:val="000D0A49"/>
    <w:rsid w:val="000F5F61"/>
    <w:rsid w:val="0010798F"/>
    <w:rsid w:val="00112069"/>
    <w:rsid w:val="00114A52"/>
    <w:rsid w:val="00116DC9"/>
    <w:rsid w:val="00161C4D"/>
    <w:rsid w:val="00162507"/>
    <w:rsid w:val="00165196"/>
    <w:rsid w:val="00170E19"/>
    <w:rsid w:val="00171531"/>
    <w:rsid w:val="001B2142"/>
    <w:rsid w:val="001B7DBC"/>
    <w:rsid w:val="00213A3E"/>
    <w:rsid w:val="002434D1"/>
    <w:rsid w:val="002454E7"/>
    <w:rsid w:val="00250A78"/>
    <w:rsid w:val="00251928"/>
    <w:rsid w:val="00254B56"/>
    <w:rsid w:val="002654FC"/>
    <w:rsid w:val="00291CFF"/>
    <w:rsid w:val="002B1CBE"/>
    <w:rsid w:val="002E33F2"/>
    <w:rsid w:val="00300BB5"/>
    <w:rsid w:val="00336863"/>
    <w:rsid w:val="00350338"/>
    <w:rsid w:val="00351A7D"/>
    <w:rsid w:val="003542CF"/>
    <w:rsid w:val="003559D3"/>
    <w:rsid w:val="00363177"/>
    <w:rsid w:val="003655AA"/>
    <w:rsid w:val="00375A94"/>
    <w:rsid w:val="0039753E"/>
    <w:rsid w:val="003A62D8"/>
    <w:rsid w:val="003C353D"/>
    <w:rsid w:val="003C4952"/>
    <w:rsid w:val="003D20C1"/>
    <w:rsid w:val="003D3F6C"/>
    <w:rsid w:val="003E48CF"/>
    <w:rsid w:val="003F76CF"/>
    <w:rsid w:val="00431409"/>
    <w:rsid w:val="00441027"/>
    <w:rsid w:val="004434C8"/>
    <w:rsid w:val="00454CAC"/>
    <w:rsid w:val="00472211"/>
    <w:rsid w:val="00487287"/>
    <w:rsid w:val="00494DFF"/>
    <w:rsid w:val="004A2E48"/>
    <w:rsid w:val="004C562E"/>
    <w:rsid w:val="0050759A"/>
    <w:rsid w:val="00512C49"/>
    <w:rsid w:val="005225BA"/>
    <w:rsid w:val="00535612"/>
    <w:rsid w:val="00556A7F"/>
    <w:rsid w:val="00572709"/>
    <w:rsid w:val="00587E69"/>
    <w:rsid w:val="005917DB"/>
    <w:rsid w:val="005A34BA"/>
    <w:rsid w:val="005B007A"/>
    <w:rsid w:val="00615EE3"/>
    <w:rsid w:val="00654A06"/>
    <w:rsid w:val="00664778"/>
    <w:rsid w:val="00667852"/>
    <w:rsid w:val="00682B73"/>
    <w:rsid w:val="00687F08"/>
    <w:rsid w:val="006B3203"/>
    <w:rsid w:val="006B4698"/>
    <w:rsid w:val="006D2FAA"/>
    <w:rsid w:val="006E6B51"/>
    <w:rsid w:val="00721C1E"/>
    <w:rsid w:val="00725373"/>
    <w:rsid w:val="00740DEE"/>
    <w:rsid w:val="00754648"/>
    <w:rsid w:val="0077682B"/>
    <w:rsid w:val="007769A5"/>
    <w:rsid w:val="00795C9A"/>
    <w:rsid w:val="007B13BE"/>
    <w:rsid w:val="007B265A"/>
    <w:rsid w:val="007C3DE1"/>
    <w:rsid w:val="007C5407"/>
    <w:rsid w:val="007E2D42"/>
    <w:rsid w:val="007E5DEF"/>
    <w:rsid w:val="00800502"/>
    <w:rsid w:val="00820A81"/>
    <w:rsid w:val="008267BF"/>
    <w:rsid w:val="008339CE"/>
    <w:rsid w:val="0086331E"/>
    <w:rsid w:val="008634FB"/>
    <w:rsid w:val="00873559"/>
    <w:rsid w:val="00876E8D"/>
    <w:rsid w:val="008B19B2"/>
    <w:rsid w:val="008D1023"/>
    <w:rsid w:val="008E3A3A"/>
    <w:rsid w:val="0091289D"/>
    <w:rsid w:val="00920F16"/>
    <w:rsid w:val="00930DB1"/>
    <w:rsid w:val="00936A2C"/>
    <w:rsid w:val="009375B7"/>
    <w:rsid w:val="009478FA"/>
    <w:rsid w:val="009506DB"/>
    <w:rsid w:val="00951764"/>
    <w:rsid w:val="00952D0A"/>
    <w:rsid w:val="00955A9C"/>
    <w:rsid w:val="00957AAD"/>
    <w:rsid w:val="009615F0"/>
    <w:rsid w:val="00961D98"/>
    <w:rsid w:val="00962EF3"/>
    <w:rsid w:val="0096586D"/>
    <w:rsid w:val="0096646E"/>
    <w:rsid w:val="00977679"/>
    <w:rsid w:val="00991831"/>
    <w:rsid w:val="009975CB"/>
    <w:rsid w:val="00997E2E"/>
    <w:rsid w:val="009A0057"/>
    <w:rsid w:val="009B0752"/>
    <w:rsid w:val="009B6ABB"/>
    <w:rsid w:val="009C121F"/>
    <w:rsid w:val="009C1815"/>
    <w:rsid w:val="009C4F0E"/>
    <w:rsid w:val="009C6A9E"/>
    <w:rsid w:val="009F0243"/>
    <w:rsid w:val="009F65F7"/>
    <w:rsid w:val="00A00A58"/>
    <w:rsid w:val="00A329ED"/>
    <w:rsid w:val="00A47F5B"/>
    <w:rsid w:val="00A506C6"/>
    <w:rsid w:val="00A667E5"/>
    <w:rsid w:val="00A91418"/>
    <w:rsid w:val="00A964D2"/>
    <w:rsid w:val="00AC2081"/>
    <w:rsid w:val="00B27867"/>
    <w:rsid w:val="00B31A0C"/>
    <w:rsid w:val="00B53ECC"/>
    <w:rsid w:val="00B54AAC"/>
    <w:rsid w:val="00B5565F"/>
    <w:rsid w:val="00B643EE"/>
    <w:rsid w:val="00B810F1"/>
    <w:rsid w:val="00B81A54"/>
    <w:rsid w:val="00B869C9"/>
    <w:rsid w:val="00BB4F73"/>
    <w:rsid w:val="00BD30D0"/>
    <w:rsid w:val="00BD7CB8"/>
    <w:rsid w:val="00BE000C"/>
    <w:rsid w:val="00BF47D8"/>
    <w:rsid w:val="00C07769"/>
    <w:rsid w:val="00C5344A"/>
    <w:rsid w:val="00C55A72"/>
    <w:rsid w:val="00C56260"/>
    <w:rsid w:val="00C908AD"/>
    <w:rsid w:val="00C91F09"/>
    <w:rsid w:val="00C95763"/>
    <w:rsid w:val="00C966B0"/>
    <w:rsid w:val="00CA239D"/>
    <w:rsid w:val="00CB44F3"/>
    <w:rsid w:val="00CB6809"/>
    <w:rsid w:val="00CC0CE6"/>
    <w:rsid w:val="00CC4678"/>
    <w:rsid w:val="00CD216C"/>
    <w:rsid w:val="00CF3D1D"/>
    <w:rsid w:val="00CF5480"/>
    <w:rsid w:val="00D25B91"/>
    <w:rsid w:val="00D36729"/>
    <w:rsid w:val="00D50C1F"/>
    <w:rsid w:val="00D61072"/>
    <w:rsid w:val="00D63B00"/>
    <w:rsid w:val="00D66C92"/>
    <w:rsid w:val="00D715C3"/>
    <w:rsid w:val="00D744F4"/>
    <w:rsid w:val="00D94597"/>
    <w:rsid w:val="00DD3A7B"/>
    <w:rsid w:val="00DE0FF7"/>
    <w:rsid w:val="00DE4EC5"/>
    <w:rsid w:val="00DF30A7"/>
    <w:rsid w:val="00E07F8A"/>
    <w:rsid w:val="00E1121F"/>
    <w:rsid w:val="00E27C15"/>
    <w:rsid w:val="00E31E50"/>
    <w:rsid w:val="00E42E8E"/>
    <w:rsid w:val="00E45DBD"/>
    <w:rsid w:val="00EA20F7"/>
    <w:rsid w:val="00EA3B5F"/>
    <w:rsid w:val="00EC25D1"/>
    <w:rsid w:val="00EC56D2"/>
    <w:rsid w:val="00EC6074"/>
    <w:rsid w:val="00EE7212"/>
    <w:rsid w:val="00EE7ABE"/>
    <w:rsid w:val="00EF5D42"/>
    <w:rsid w:val="00F149C9"/>
    <w:rsid w:val="00F33000"/>
    <w:rsid w:val="00F47893"/>
    <w:rsid w:val="00F76829"/>
    <w:rsid w:val="00FA65B8"/>
    <w:rsid w:val="00FD6C13"/>
    <w:rsid w:val="00FE0A0D"/>
    <w:rsid w:val="00FE795A"/>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chartTrackingRefBased/>
  <w15:docId w15:val="{D3A49685-4F6A-483E-B780-EA821FB7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1C49-4FE3-4983-9713-626DC179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2150</Words>
  <Characters>11830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Alejandro Arellano Arvizu</cp:lastModifiedBy>
  <cp:revision>10</cp:revision>
  <cp:lastPrinted>2024-06-14T21:45:00Z</cp:lastPrinted>
  <dcterms:created xsi:type="dcterms:W3CDTF">2024-06-05T17:05:00Z</dcterms:created>
  <dcterms:modified xsi:type="dcterms:W3CDTF">2024-06-27T18:23:00Z</dcterms:modified>
</cp:coreProperties>
</file>