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61AF" w14:textId="77777777" w:rsidR="00B26D6A" w:rsidRDefault="00B26D6A" w:rsidP="003A62D8">
      <w:pPr>
        <w:spacing w:after="200" w:line="360" w:lineRule="auto"/>
        <w:jc w:val="both"/>
        <w:rPr>
          <w:rFonts w:ascii="Arial" w:eastAsia="Calibri" w:hAnsi="Arial" w:cs="Arial"/>
          <w:sz w:val="24"/>
          <w:szCs w:val="24"/>
          <w:lang w:val="es-ES"/>
        </w:rPr>
      </w:pPr>
      <w:bookmarkStart w:id="0" w:name="_Hlk136252236"/>
    </w:p>
    <w:p w14:paraId="6DFD7E3A" w14:textId="041B70E1" w:rsidR="00E45DBD" w:rsidRPr="00CB6809" w:rsidRDefault="00CB6809" w:rsidP="003A62D8">
      <w:pPr>
        <w:spacing w:after="200" w:line="360" w:lineRule="auto"/>
        <w:jc w:val="both"/>
        <w:rPr>
          <w:rFonts w:ascii="Arial" w:eastAsia="Calibri" w:hAnsi="Arial" w:cs="Arial"/>
          <w:b/>
          <w:sz w:val="24"/>
          <w:szCs w:val="24"/>
          <w:lang w:val="es-ES"/>
        </w:rPr>
      </w:pPr>
      <w:r w:rsidRPr="00CB6809">
        <w:rPr>
          <w:rFonts w:ascii="Arial" w:eastAsia="Calibri" w:hAnsi="Arial" w:cs="Arial"/>
          <w:sz w:val="24"/>
          <w:szCs w:val="24"/>
          <w:lang w:val="es-ES"/>
        </w:rPr>
        <w:t>- - -</w:t>
      </w:r>
      <w:r w:rsidRPr="00CB6809">
        <w:rPr>
          <w:rFonts w:ascii="Arial" w:eastAsia="Calibri" w:hAnsi="Arial" w:cs="Arial"/>
          <w:b/>
          <w:sz w:val="24"/>
          <w:szCs w:val="24"/>
          <w:lang w:val="es-ES"/>
        </w:rPr>
        <w:t xml:space="preserve"> </w:t>
      </w:r>
      <w:r w:rsidR="00E45DBD" w:rsidRPr="00CB6809">
        <w:rPr>
          <w:rFonts w:ascii="Arial" w:eastAsia="Calibri" w:hAnsi="Arial" w:cs="Arial"/>
          <w:b/>
          <w:sz w:val="24"/>
          <w:szCs w:val="24"/>
          <w:lang w:val="es-ES"/>
        </w:rPr>
        <w:t>CUENTA</w:t>
      </w:r>
      <w:r w:rsidRPr="00CB6809">
        <w:rPr>
          <w:rFonts w:ascii="Arial" w:eastAsia="Calibri" w:hAnsi="Arial" w:cs="Arial"/>
          <w:b/>
          <w:sz w:val="24"/>
          <w:szCs w:val="24"/>
          <w:lang w:val="es-ES"/>
        </w:rPr>
        <w:t>.</w:t>
      </w:r>
      <w:r w:rsidR="00E45DBD" w:rsidRPr="00CB6809">
        <w:rPr>
          <w:rFonts w:ascii="Arial" w:eastAsia="Calibri" w:hAnsi="Arial" w:cs="Arial"/>
          <w:b/>
          <w:sz w:val="24"/>
          <w:szCs w:val="24"/>
          <w:lang w:val="es-ES"/>
        </w:rPr>
        <w:t xml:space="preserve">- En Hermosillo, Sonora, </w:t>
      </w:r>
      <w:r w:rsidR="00E45DBD" w:rsidRPr="00E06ACB">
        <w:rPr>
          <w:rFonts w:ascii="Arial" w:eastAsia="Calibri" w:hAnsi="Arial" w:cs="Arial"/>
          <w:b/>
          <w:sz w:val="24"/>
          <w:szCs w:val="24"/>
          <w:lang w:val="es-ES"/>
        </w:rPr>
        <w:t xml:space="preserve">a </w:t>
      </w:r>
      <w:r w:rsidR="00904D96">
        <w:rPr>
          <w:rFonts w:ascii="Arial" w:eastAsia="Calibri" w:hAnsi="Arial" w:cs="Arial"/>
          <w:b/>
          <w:sz w:val="24"/>
          <w:szCs w:val="24"/>
          <w:lang w:val="es-ES"/>
        </w:rPr>
        <w:t>doce</w:t>
      </w:r>
      <w:r w:rsidR="00936A2C" w:rsidRPr="00E06ACB">
        <w:rPr>
          <w:rFonts w:ascii="Arial" w:eastAsia="Calibri" w:hAnsi="Arial" w:cs="Arial"/>
          <w:b/>
          <w:sz w:val="24"/>
          <w:szCs w:val="24"/>
          <w:lang w:val="es-ES"/>
        </w:rPr>
        <w:t xml:space="preserve"> </w:t>
      </w:r>
      <w:r w:rsidR="00B36261">
        <w:rPr>
          <w:rFonts w:ascii="Arial" w:eastAsia="Calibri" w:hAnsi="Arial" w:cs="Arial"/>
          <w:b/>
          <w:sz w:val="24"/>
          <w:szCs w:val="24"/>
          <w:lang w:val="es-ES"/>
        </w:rPr>
        <w:t>de junio</w:t>
      </w:r>
      <w:r w:rsidR="00936A2C" w:rsidRPr="00E06ACB">
        <w:rPr>
          <w:rFonts w:ascii="Arial" w:eastAsia="Calibri" w:hAnsi="Arial" w:cs="Arial"/>
          <w:b/>
          <w:sz w:val="24"/>
          <w:szCs w:val="24"/>
          <w:lang w:val="es-ES"/>
        </w:rPr>
        <w:t xml:space="preserve"> </w:t>
      </w:r>
      <w:r w:rsidR="00E45DBD" w:rsidRPr="00E06ACB">
        <w:rPr>
          <w:rFonts w:ascii="Arial" w:eastAsia="Calibri" w:hAnsi="Arial" w:cs="Arial"/>
          <w:b/>
          <w:sz w:val="24"/>
          <w:szCs w:val="24"/>
          <w:lang w:val="es-ES"/>
        </w:rPr>
        <w:t>de dos mil veinticuatro</w:t>
      </w:r>
      <w:r w:rsidR="00E45DBD" w:rsidRPr="00CB6809">
        <w:rPr>
          <w:rFonts w:ascii="Arial" w:eastAsia="Calibri" w:hAnsi="Arial" w:cs="Arial"/>
          <w:b/>
          <w:sz w:val="24"/>
          <w:szCs w:val="24"/>
          <w:lang w:val="es-ES"/>
        </w:rPr>
        <w:t>,</w:t>
      </w:r>
      <w:r w:rsidR="00E45DBD" w:rsidRPr="00CB6809">
        <w:rPr>
          <w:rFonts w:ascii="Arial" w:eastAsia="Calibri" w:hAnsi="Arial" w:cs="Arial"/>
          <w:sz w:val="24"/>
          <w:szCs w:val="24"/>
          <w:lang w:val="es-ES"/>
        </w:rPr>
        <w:t xml:space="preserve"> doy cuenta al Pleno del Tribunal de Justicia Administrativa del Estado de Sonora</w:t>
      </w:r>
      <w:r w:rsidRPr="00CB68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con el estado procesal que guardan los autos</w:t>
      </w:r>
      <w:r w:rsidRPr="00CB6809">
        <w:rPr>
          <w:rFonts w:ascii="Arial" w:eastAsia="Calibri" w:hAnsi="Arial" w:cs="Arial"/>
          <w:sz w:val="24"/>
          <w:szCs w:val="24"/>
          <w:lang w:val="es-ES"/>
        </w:rPr>
        <w:t xml:space="preserve"> originales</w:t>
      </w:r>
      <w:r w:rsidR="00E45DBD" w:rsidRPr="00CB6809">
        <w:rPr>
          <w:rFonts w:ascii="Arial" w:eastAsia="Calibri" w:hAnsi="Arial" w:cs="Arial"/>
          <w:sz w:val="24"/>
          <w:szCs w:val="24"/>
          <w:lang w:val="es-ES"/>
        </w:rPr>
        <w:t xml:space="preserve"> del </w:t>
      </w:r>
      <w:r w:rsidR="00E45DBD" w:rsidRPr="00B73A09">
        <w:rPr>
          <w:rFonts w:ascii="Arial" w:eastAsia="Calibri" w:hAnsi="Arial" w:cs="Arial"/>
          <w:b/>
          <w:bCs/>
          <w:sz w:val="24"/>
          <w:szCs w:val="24"/>
          <w:lang w:val="es-ES"/>
        </w:rPr>
        <w:t xml:space="preserve">expediente </w:t>
      </w:r>
      <w:r w:rsidR="00B1244A">
        <w:rPr>
          <w:rFonts w:ascii="Arial" w:eastAsia="Calibri" w:hAnsi="Arial" w:cs="Arial"/>
          <w:b/>
          <w:bCs/>
          <w:sz w:val="24"/>
          <w:szCs w:val="24"/>
          <w:lang w:val="es-ES"/>
        </w:rPr>
        <w:t>321</w:t>
      </w:r>
      <w:r w:rsidR="00687F08" w:rsidRPr="00B73A09">
        <w:rPr>
          <w:rFonts w:ascii="Arial" w:eastAsia="Calibri" w:hAnsi="Arial" w:cs="Arial"/>
          <w:b/>
          <w:bCs/>
          <w:sz w:val="24"/>
          <w:szCs w:val="24"/>
          <w:lang w:val="es-ES"/>
        </w:rPr>
        <w:t>/20</w:t>
      </w:r>
      <w:r w:rsidR="00610639" w:rsidRPr="00B73A09">
        <w:rPr>
          <w:rFonts w:ascii="Arial" w:eastAsia="Calibri" w:hAnsi="Arial" w:cs="Arial"/>
          <w:b/>
          <w:bCs/>
          <w:sz w:val="24"/>
          <w:szCs w:val="24"/>
          <w:lang w:val="es-ES"/>
        </w:rPr>
        <w:t>2</w:t>
      </w:r>
      <w:r w:rsidR="00C61788">
        <w:rPr>
          <w:rFonts w:ascii="Arial" w:eastAsia="Calibri" w:hAnsi="Arial" w:cs="Arial"/>
          <w:b/>
          <w:bCs/>
          <w:sz w:val="24"/>
          <w:szCs w:val="24"/>
          <w:lang w:val="es-ES"/>
        </w:rPr>
        <w:t>3</w:t>
      </w:r>
      <w:r w:rsidR="00E45DBD" w:rsidRPr="00B73A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w:t>
      </w:r>
      <w:r w:rsidR="00E45DBD"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92751EC" w14:textId="786E8B54" w:rsidR="0077682B" w:rsidRPr="00B36261" w:rsidRDefault="00161C4D" w:rsidP="0077682B">
      <w:pPr>
        <w:tabs>
          <w:tab w:val="left" w:pos="8172"/>
        </w:tabs>
        <w:spacing w:after="200" w:line="360" w:lineRule="auto"/>
        <w:jc w:val="both"/>
        <w:rPr>
          <w:rFonts w:ascii="Arial" w:eastAsia="Calibri" w:hAnsi="Arial" w:cs="Arial"/>
          <w:b/>
          <w:sz w:val="24"/>
          <w:szCs w:val="24"/>
        </w:rPr>
      </w:pPr>
      <w:r w:rsidRPr="00CB6809">
        <w:rPr>
          <w:rFonts w:ascii="Arial" w:eastAsia="Calibri" w:hAnsi="Arial" w:cs="Arial"/>
          <w:bCs/>
          <w:sz w:val="24"/>
          <w:szCs w:val="24"/>
        </w:rPr>
        <w:t>- - -</w:t>
      </w:r>
      <w:r w:rsidRPr="00CB6809">
        <w:rPr>
          <w:rFonts w:ascii="Arial" w:eastAsia="Calibri" w:hAnsi="Arial" w:cs="Arial"/>
          <w:b/>
          <w:bCs/>
          <w:sz w:val="24"/>
          <w:szCs w:val="24"/>
        </w:rPr>
        <w:t xml:space="preserve"> </w:t>
      </w: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904D96">
        <w:rPr>
          <w:rFonts w:ascii="Arial" w:eastAsia="Calibri" w:hAnsi="Arial" w:cs="Arial"/>
          <w:b/>
          <w:sz w:val="24"/>
          <w:szCs w:val="24"/>
        </w:rPr>
        <w:t>DOCE</w:t>
      </w:r>
      <w:r w:rsidR="00610639" w:rsidRPr="00E06ACB">
        <w:rPr>
          <w:rFonts w:ascii="Arial" w:eastAsia="Calibri" w:hAnsi="Arial" w:cs="Arial"/>
          <w:b/>
          <w:sz w:val="24"/>
          <w:szCs w:val="24"/>
        </w:rPr>
        <w:t xml:space="preserve"> </w:t>
      </w:r>
      <w:r w:rsidR="00740DEE" w:rsidRPr="00E06ACB">
        <w:rPr>
          <w:rFonts w:ascii="Arial" w:eastAsia="Calibri" w:hAnsi="Arial" w:cs="Arial"/>
          <w:b/>
          <w:sz w:val="24"/>
          <w:szCs w:val="24"/>
        </w:rPr>
        <w:t xml:space="preserve">DE </w:t>
      </w:r>
      <w:r w:rsidR="00B36261">
        <w:rPr>
          <w:rFonts w:ascii="Arial" w:eastAsia="Calibri" w:hAnsi="Arial" w:cs="Arial"/>
          <w:b/>
          <w:sz w:val="24"/>
          <w:szCs w:val="24"/>
        </w:rPr>
        <w:t>JUNIO</w:t>
      </w:r>
      <w:r w:rsidR="00936A2C">
        <w:rPr>
          <w:rFonts w:ascii="Arial" w:eastAsia="Calibri" w:hAnsi="Arial" w:cs="Arial"/>
          <w:b/>
          <w:sz w:val="24"/>
          <w:szCs w:val="24"/>
        </w:rPr>
        <w:t xml:space="preserve">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 - - - - - - - - - - - - - - - - - -</w:t>
      </w:r>
      <w:r w:rsidR="00A7216A">
        <w:rPr>
          <w:rFonts w:ascii="Arial" w:eastAsia="Calibri" w:hAnsi="Arial" w:cs="Arial"/>
          <w:sz w:val="24"/>
          <w:szCs w:val="24"/>
          <w:lang w:val="es-ES"/>
        </w:rPr>
        <w:t xml:space="preserve"> </w:t>
      </w:r>
      <w:r w:rsidR="00B36261">
        <w:rPr>
          <w:rFonts w:ascii="Arial" w:eastAsia="Calibri" w:hAnsi="Arial" w:cs="Arial"/>
          <w:sz w:val="24"/>
          <w:szCs w:val="24"/>
          <w:lang w:val="es-ES"/>
        </w:rPr>
        <w:t>- - - -</w:t>
      </w:r>
      <w:r>
        <w:rPr>
          <w:rFonts w:ascii="Arial" w:eastAsia="Calibri" w:hAnsi="Arial" w:cs="Arial"/>
          <w:sz w:val="24"/>
          <w:szCs w:val="24"/>
          <w:lang w:val="es-ES"/>
        </w:rPr>
        <w:t xml:space="preserve"> - - - - - - - - - - - - - - </w:t>
      </w:r>
      <w:r w:rsidR="003F76CF">
        <w:rPr>
          <w:rFonts w:ascii="Arial" w:eastAsia="Calibri" w:hAnsi="Arial" w:cs="Arial"/>
          <w:sz w:val="24"/>
          <w:szCs w:val="24"/>
          <w:lang w:val="es-ES"/>
        </w:rPr>
        <w:t xml:space="preserve">- - - - </w:t>
      </w:r>
      <w:r>
        <w:rPr>
          <w:rFonts w:ascii="Arial" w:eastAsia="Calibri" w:hAnsi="Arial" w:cs="Arial"/>
          <w:sz w:val="24"/>
          <w:szCs w:val="24"/>
          <w:lang w:val="es-ES"/>
        </w:rPr>
        <w:t xml:space="preserve">- - - - - </w:t>
      </w:r>
      <w:r w:rsidR="00610639">
        <w:rPr>
          <w:rFonts w:ascii="Arial" w:eastAsia="Calibri" w:hAnsi="Arial" w:cs="Arial"/>
          <w:sz w:val="24"/>
          <w:szCs w:val="24"/>
          <w:lang w:val="es-ES"/>
        </w:rPr>
        <w:t>-</w:t>
      </w:r>
      <w:r w:rsidR="00740DEE">
        <w:rPr>
          <w:rFonts w:ascii="Arial" w:eastAsia="Calibri" w:hAnsi="Arial" w:cs="Arial"/>
          <w:sz w:val="24"/>
          <w:szCs w:val="24"/>
          <w:lang w:val="es-ES"/>
        </w:rPr>
        <w:t xml:space="preserve"> -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w:t>
      </w:r>
      <w:r w:rsidR="00E45DBD" w:rsidRPr="00B73A09">
        <w:rPr>
          <w:rFonts w:ascii="Arial" w:eastAsia="Calibri" w:hAnsi="Arial" w:cs="Arial"/>
          <w:sz w:val="24"/>
          <w:szCs w:val="24"/>
        </w:rPr>
        <w:t xml:space="preserve">cuenta que antecede, del análisis de los autos del expediente </w:t>
      </w:r>
      <w:r w:rsidR="003C353D" w:rsidRPr="00B73A09">
        <w:rPr>
          <w:rFonts w:ascii="Arial" w:eastAsia="Calibri" w:hAnsi="Arial" w:cs="Arial"/>
          <w:sz w:val="24"/>
          <w:szCs w:val="24"/>
        </w:rPr>
        <w:t xml:space="preserve">de mérito relativo al </w:t>
      </w:r>
      <w:r w:rsidR="003542CF" w:rsidRPr="00B73A09">
        <w:rPr>
          <w:rFonts w:ascii="Arial" w:eastAsia="Calibri" w:hAnsi="Arial" w:cs="Arial"/>
          <w:b/>
          <w:bCs/>
          <w:sz w:val="24"/>
          <w:szCs w:val="24"/>
        </w:rPr>
        <w:t>JUICIO ADMINISTRATIVO</w:t>
      </w:r>
      <w:r w:rsidR="00610639" w:rsidRPr="00B73A09">
        <w:rPr>
          <w:rFonts w:ascii="Arial" w:eastAsia="Calibri" w:hAnsi="Arial" w:cs="Arial"/>
          <w:sz w:val="24"/>
          <w:szCs w:val="24"/>
        </w:rPr>
        <w:t>, promovido por</w:t>
      </w:r>
      <w:r w:rsidR="00B36261">
        <w:rPr>
          <w:rFonts w:ascii="Arial" w:eastAsia="Calibri" w:hAnsi="Arial" w:cs="Arial"/>
          <w:sz w:val="24"/>
          <w:szCs w:val="24"/>
        </w:rPr>
        <w:t xml:space="preserve"> </w:t>
      </w:r>
      <w:r w:rsidR="00631625" w:rsidRPr="00631625">
        <w:rPr>
          <w:rFonts w:ascii="Arial" w:eastAsia="Calibri" w:hAnsi="Arial" w:cs="Arial"/>
          <w:b/>
          <w:sz w:val="24"/>
          <w:szCs w:val="24"/>
        </w:rPr>
        <w:t>**** **** **** ****</w:t>
      </w:r>
      <w:r w:rsidR="00B36261">
        <w:rPr>
          <w:rFonts w:ascii="Arial" w:eastAsia="Calibri" w:hAnsi="Arial" w:cs="Arial"/>
          <w:b/>
          <w:sz w:val="24"/>
          <w:szCs w:val="24"/>
        </w:rPr>
        <w:t xml:space="preserve"> </w:t>
      </w:r>
      <w:r w:rsidR="00610639" w:rsidRPr="00B73A09">
        <w:rPr>
          <w:rFonts w:ascii="Arial" w:eastAsia="Calibri" w:hAnsi="Arial" w:cs="Arial"/>
          <w:sz w:val="24"/>
          <w:szCs w:val="24"/>
        </w:rPr>
        <w:t xml:space="preserve">en su carácter </w:t>
      </w:r>
      <w:r w:rsidR="00E70A59">
        <w:rPr>
          <w:rFonts w:ascii="Arial" w:eastAsia="Calibri" w:hAnsi="Arial" w:cs="Arial"/>
          <w:sz w:val="24"/>
          <w:szCs w:val="24"/>
        </w:rPr>
        <w:t xml:space="preserve">de </w:t>
      </w:r>
      <w:r w:rsidR="00B1244A">
        <w:rPr>
          <w:rFonts w:ascii="Arial" w:eastAsia="Calibri" w:hAnsi="Arial" w:cs="Arial"/>
          <w:sz w:val="24"/>
          <w:szCs w:val="24"/>
        </w:rPr>
        <w:t>actor</w:t>
      </w:r>
      <w:r w:rsidR="00B36261">
        <w:rPr>
          <w:rFonts w:ascii="Arial" w:eastAsia="Calibri" w:hAnsi="Arial" w:cs="Arial"/>
          <w:sz w:val="24"/>
          <w:szCs w:val="24"/>
        </w:rPr>
        <w:t xml:space="preserve"> en contra de la </w:t>
      </w:r>
      <w:r w:rsidR="00B1244A">
        <w:rPr>
          <w:rFonts w:ascii="Arial" w:eastAsia="Calibri" w:hAnsi="Arial" w:cs="Arial"/>
          <w:b/>
          <w:sz w:val="24"/>
          <w:szCs w:val="24"/>
        </w:rPr>
        <w:t>OFICINA DE SERVICIOS ADMINISTRATIVOS DEL H. AYUNTAMIENTO DE SAN LUIS RIO COLORADO</w:t>
      </w:r>
      <w:r w:rsidR="00E70A59" w:rsidRPr="00E70A59">
        <w:rPr>
          <w:rFonts w:ascii="Arial" w:eastAsia="Calibri" w:hAnsi="Arial" w:cs="Arial"/>
          <w:b/>
          <w:sz w:val="24"/>
          <w:szCs w:val="24"/>
        </w:rPr>
        <w:t>, SONORA,</w:t>
      </w:r>
      <w:r w:rsidR="00B1244A" w:rsidRPr="00B73A09">
        <w:rPr>
          <w:rFonts w:ascii="Arial" w:eastAsia="Calibri" w:hAnsi="Arial" w:cs="Arial"/>
          <w:sz w:val="24"/>
          <w:szCs w:val="24"/>
        </w:rPr>
        <w:t xml:space="preserve"> se</w:t>
      </w:r>
      <w:r w:rsidR="008634FB" w:rsidRPr="00B73A09">
        <w:rPr>
          <w:rFonts w:ascii="Arial" w:eastAsia="Calibri" w:hAnsi="Arial" w:cs="Arial"/>
          <w:sz w:val="24"/>
          <w:szCs w:val="24"/>
        </w:rPr>
        <w:t xml:space="preserve"> advierte </w:t>
      </w:r>
      <w:r w:rsidR="00E45DBD" w:rsidRPr="00B73A09">
        <w:rPr>
          <w:rFonts w:ascii="Arial" w:eastAsia="Calibri" w:hAnsi="Arial" w:cs="Arial"/>
          <w:sz w:val="24"/>
          <w:szCs w:val="24"/>
        </w:rPr>
        <w:t>la actualización de la causal de sobreseimiento prevista por el artículo 87</w:t>
      </w:r>
      <w:r w:rsidRPr="00B73A09">
        <w:rPr>
          <w:rFonts w:ascii="Arial" w:eastAsia="Calibri" w:hAnsi="Arial" w:cs="Arial"/>
          <w:sz w:val="24"/>
          <w:szCs w:val="24"/>
        </w:rPr>
        <w:t xml:space="preserve"> [</w:t>
      </w:r>
      <w:r w:rsidR="00E45DBD" w:rsidRPr="00B73A09">
        <w:rPr>
          <w:rFonts w:ascii="Arial" w:eastAsia="Calibri" w:hAnsi="Arial" w:cs="Arial"/>
          <w:sz w:val="24"/>
          <w:szCs w:val="24"/>
        </w:rPr>
        <w:t>fracción V</w:t>
      </w:r>
      <w:r w:rsidRPr="00B73A09">
        <w:rPr>
          <w:rFonts w:ascii="Arial" w:eastAsia="Calibri" w:hAnsi="Arial" w:cs="Arial"/>
          <w:sz w:val="24"/>
          <w:szCs w:val="24"/>
        </w:rPr>
        <w:t>]</w:t>
      </w:r>
      <w:r w:rsidR="00E45DBD" w:rsidRPr="00B73A09">
        <w:rPr>
          <w:rFonts w:ascii="Arial" w:eastAsia="Calibri" w:hAnsi="Arial" w:cs="Arial"/>
          <w:sz w:val="24"/>
          <w:szCs w:val="24"/>
        </w:rPr>
        <w:t xml:space="preserve"> de la Ley de Justicia Administrativa del Estado de Sonora, mismo</w:t>
      </w:r>
      <w:r w:rsidR="00E45DBD" w:rsidRPr="00CB6809">
        <w:rPr>
          <w:rFonts w:ascii="Arial" w:eastAsia="Calibri" w:hAnsi="Arial" w:cs="Arial"/>
          <w:sz w:val="24"/>
          <w:szCs w:val="24"/>
        </w:rPr>
        <w:t xml:space="preserve"> que para su estudio, a la letra se cita: - - - - - - - - </w:t>
      </w:r>
      <w:r w:rsidR="00B1244A">
        <w:rPr>
          <w:rFonts w:ascii="Arial" w:eastAsia="Calibri" w:hAnsi="Arial" w:cs="Arial"/>
          <w:sz w:val="24"/>
          <w:szCs w:val="24"/>
        </w:rPr>
        <w:t xml:space="preserve">- - - - </w:t>
      </w:r>
      <w:r w:rsidR="009D42E8">
        <w:rPr>
          <w:rFonts w:ascii="Arial" w:eastAsia="Calibri" w:hAnsi="Arial" w:cs="Arial"/>
          <w:sz w:val="24"/>
          <w:szCs w:val="24"/>
          <w:lang w:val="es-ES"/>
        </w:rPr>
        <w:t xml:space="preserve">- </w:t>
      </w:r>
      <w:r w:rsidR="00E70A59">
        <w:rPr>
          <w:rFonts w:ascii="Arial" w:eastAsia="Calibri" w:hAnsi="Arial" w:cs="Arial"/>
          <w:sz w:val="24"/>
          <w:szCs w:val="24"/>
          <w:lang w:val="es-ES"/>
        </w:rPr>
        <w:t xml:space="preserve">- - - - - - - - - - - - - - - - - - - - - - - - - - - - - - - - - - - - - - - - - - - - </w:t>
      </w:r>
      <w:r w:rsidR="009D42E8">
        <w:rPr>
          <w:rFonts w:ascii="Arial" w:eastAsia="Calibri" w:hAnsi="Arial" w:cs="Arial"/>
          <w:sz w:val="24"/>
          <w:szCs w:val="24"/>
          <w:lang w:val="es-ES"/>
        </w:rPr>
        <w:t>-</w:t>
      </w:r>
      <w:r w:rsidR="00CB6809">
        <w:rPr>
          <w:rFonts w:ascii="Arial" w:eastAsia="Calibri" w:hAnsi="Arial" w:cs="Arial"/>
          <w:sz w:val="24"/>
          <w:szCs w:val="24"/>
          <w:lang w:val="es-ES"/>
        </w:rPr>
        <w:t xml:space="preserve"> (…)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r w:rsidR="00CB6809">
        <w:rPr>
          <w:rFonts w:ascii="Arial" w:eastAsia="Calibri" w:hAnsi="Arial" w:cs="Arial"/>
          <w:i/>
          <w:iCs/>
          <w:sz w:val="24"/>
          <w:szCs w:val="24"/>
        </w:rPr>
        <w:t xml:space="preserve">- - - - - - - </w:t>
      </w:r>
      <w:r w:rsidR="00E45DBD" w:rsidRPr="00CB6809">
        <w:rPr>
          <w:rFonts w:ascii="Arial" w:eastAsia="Calibri" w:hAnsi="Arial" w:cs="Arial"/>
          <w:i/>
          <w:iCs/>
          <w:sz w:val="24"/>
          <w:szCs w:val="24"/>
        </w:rPr>
        <w:t xml:space="preserve">I.- El demandante se desista expresamente de la acción intentada; </w:t>
      </w:r>
      <w:r w:rsidR="00CB6809">
        <w:rPr>
          <w:rFonts w:ascii="Arial" w:eastAsia="Calibri" w:hAnsi="Arial" w:cs="Arial"/>
          <w:i/>
          <w:iCs/>
          <w:sz w:val="24"/>
          <w:szCs w:val="24"/>
        </w:rPr>
        <w:t xml:space="preserve">- - - - - - - - - </w:t>
      </w:r>
      <w:r w:rsidR="00E45DBD" w:rsidRPr="00CB6809">
        <w:rPr>
          <w:rFonts w:ascii="Arial" w:eastAsia="Calibri" w:hAnsi="Arial" w:cs="Arial"/>
          <w:i/>
          <w:iCs/>
          <w:sz w:val="24"/>
          <w:szCs w:val="24"/>
        </w:rPr>
        <w:t xml:space="preserve">II.- El actor fallezca durante el juicio, siempre que no se trate de derechos transmisibles; </w:t>
      </w:r>
      <w:r w:rsidR="00CB6809">
        <w:rPr>
          <w:rFonts w:ascii="Arial" w:eastAsia="Calibri" w:hAnsi="Arial" w:cs="Arial"/>
          <w:i/>
          <w:iCs/>
          <w:sz w:val="24"/>
          <w:szCs w:val="24"/>
        </w:rPr>
        <w:t xml:space="preserve">- - - - - - - - - - - - - - - - - - - - - - - - - - - - - - - - - - - - - - - - - - - - - - - - - - - </w:t>
      </w:r>
      <w:r w:rsidR="00E45DBD"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r w:rsidR="00CB6809">
        <w:rPr>
          <w:rFonts w:ascii="Arial" w:eastAsia="Calibri" w:hAnsi="Arial" w:cs="Arial"/>
          <w:i/>
          <w:iCs/>
          <w:sz w:val="24"/>
          <w:szCs w:val="24"/>
        </w:rPr>
        <w:t xml:space="preserve">- - - - - - - - - - - - - </w:t>
      </w:r>
      <w:r w:rsidR="00E45DBD"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r w:rsidR="00CB6809">
        <w:rPr>
          <w:rFonts w:ascii="Arial" w:eastAsia="Calibri" w:hAnsi="Arial" w:cs="Arial"/>
          <w:i/>
          <w:iCs/>
          <w:sz w:val="24"/>
          <w:szCs w:val="24"/>
        </w:rPr>
        <w:t xml:space="preserve">- - - </w:t>
      </w:r>
      <w:r w:rsidR="00CB6809" w:rsidRPr="00930DB1">
        <w:rPr>
          <w:rFonts w:ascii="Arial" w:eastAsia="Calibri" w:hAnsi="Arial" w:cs="Arial"/>
          <w:b/>
          <w:bCs/>
          <w:i/>
          <w:iCs/>
          <w:sz w:val="24"/>
          <w:szCs w:val="24"/>
          <w:u w:val="single"/>
        </w:rPr>
        <w:t xml:space="preserve">- - - </w:t>
      </w:r>
      <w:r w:rsidR="00E45DBD" w:rsidRPr="00930DB1">
        <w:rPr>
          <w:rFonts w:ascii="Arial" w:eastAsia="Calibri" w:hAnsi="Arial" w:cs="Arial"/>
          <w:b/>
          <w:bCs/>
          <w:i/>
          <w:iCs/>
          <w:sz w:val="24"/>
          <w:szCs w:val="24"/>
          <w:u w:val="single"/>
        </w:rPr>
        <w:t>V.- No se haya efectuado ningún acto procesal durante el término de cien días naturales; o</w:t>
      </w:r>
      <w:r w:rsidR="00E45DBD" w:rsidRPr="00930DB1">
        <w:rPr>
          <w:rFonts w:ascii="Arial" w:eastAsia="Calibri" w:hAnsi="Arial" w:cs="Arial"/>
          <w:b/>
          <w:bCs/>
          <w:i/>
          <w:iCs/>
          <w:sz w:val="24"/>
          <w:szCs w:val="24"/>
        </w:rPr>
        <w:t xml:space="preserve"> </w:t>
      </w:r>
      <w:r w:rsidR="00CB6809" w:rsidRPr="00930DB1">
        <w:rPr>
          <w:rFonts w:ascii="Arial" w:eastAsia="Calibri" w:hAnsi="Arial" w:cs="Arial"/>
          <w:b/>
          <w:bCs/>
          <w:i/>
          <w:iCs/>
          <w:sz w:val="24"/>
          <w:szCs w:val="24"/>
        </w:rPr>
        <w:t xml:space="preserve">- - - - - - - - - - - - - - - - - - - - - - - - - - - - - - - - - - - - - - - - - </w:t>
      </w:r>
      <w:r w:rsidR="00CB6809" w:rsidRPr="00161C4D">
        <w:rPr>
          <w:rFonts w:ascii="Arial" w:eastAsia="Calibri" w:hAnsi="Arial" w:cs="Arial"/>
          <w:i/>
          <w:iCs/>
          <w:sz w:val="24"/>
          <w:szCs w:val="24"/>
        </w:rPr>
        <w:t xml:space="preserve">- - - </w:t>
      </w:r>
      <w:r w:rsidR="00E45DBD"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00E45DBD" w:rsidRPr="00CB6809">
        <w:rPr>
          <w:rFonts w:ascii="Arial" w:eastAsia="Calibri" w:hAnsi="Arial" w:cs="Arial"/>
          <w:b/>
          <w:bCs/>
          <w:i/>
          <w:iCs/>
          <w:sz w:val="24"/>
          <w:szCs w:val="24"/>
        </w:rPr>
        <w:t xml:space="preserve"> </w:t>
      </w:r>
      <w:r w:rsidR="00CB6809" w:rsidRPr="00CB6809">
        <w:rPr>
          <w:rFonts w:ascii="Arial" w:eastAsia="Calibri" w:hAnsi="Arial" w:cs="Arial"/>
          <w:bCs/>
          <w:i/>
          <w:iCs/>
          <w:sz w:val="24"/>
          <w:szCs w:val="24"/>
        </w:rPr>
        <w:t>- -</w:t>
      </w:r>
      <w:r w:rsidR="00CB6809">
        <w:rPr>
          <w:rFonts w:ascii="Arial" w:eastAsia="Calibri" w:hAnsi="Arial" w:cs="Arial"/>
          <w:bCs/>
          <w:i/>
          <w:iCs/>
          <w:sz w:val="24"/>
          <w:szCs w:val="24"/>
        </w:rPr>
        <w:t xml:space="preserve"> - - - - - - - - - - - - - - - - - - - - - - - - - - - - - - - - - - -</w:t>
      </w:r>
      <w:bookmarkStart w:id="1" w:name="_Hlk136255550"/>
      <w:r w:rsidR="00CB6809">
        <w:rPr>
          <w:rFonts w:ascii="Arial" w:eastAsia="Calibri" w:hAnsi="Arial" w:cs="Arial"/>
          <w:bCs/>
          <w:i/>
          <w:iCs/>
          <w:sz w:val="24"/>
          <w:szCs w:val="24"/>
        </w:rPr>
        <w:t xml:space="preserve"> - - - - - - - - - </w:t>
      </w:r>
      <w:r w:rsidR="00E45DBD" w:rsidRPr="00CB6809">
        <w:rPr>
          <w:rFonts w:ascii="Arial" w:eastAsia="Calibri" w:hAnsi="Arial" w:cs="Arial"/>
          <w:sz w:val="24"/>
          <w:szCs w:val="24"/>
        </w:rPr>
        <w:t>- - -</w:t>
      </w:r>
      <w:r w:rsidR="00E27C15">
        <w:rPr>
          <w:rFonts w:ascii="Arial" w:eastAsia="Calibri" w:hAnsi="Arial" w:cs="Arial"/>
          <w:sz w:val="24"/>
          <w:szCs w:val="24"/>
        </w:rPr>
        <w:t xml:space="preserve"> - -</w:t>
      </w:r>
      <w:r w:rsidR="00E45DBD" w:rsidRPr="00CB6809">
        <w:rPr>
          <w:rFonts w:ascii="Arial" w:eastAsia="Calibri" w:hAnsi="Arial" w:cs="Arial"/>
          <w:sz w:val="24"/>
          <w:szCs w:val="24"/>
        </w:rPr>
        <w:t xml:space="preserve"> Conforme al dispositivo jurídico citado, se advierte de la imposición de autos el transcurso del término de </w:t>
      </w:r>
      <w:r w:rsidR="00E45DBD"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00E45DBD" w:rsidRPr="00CB44F3">
        <w:rPr>
          <w:rFonts w:ascii="Arial" w:eastAsia="Calibri" w:hAnsi="Arial" w:cs="Arial"/>
          <w:sz w:val="24"/>
          <w:szCs w:val="24"/>
          <w:u w:val="single"/>
        </w:rPr>
        <w:t>días naturales</w:t>
      </w:r>
      <w:r w:rsidR="00E45DBD" w:rsidRPr="00CB6809">
        <w:rPr>
          <w:rFonts w:ascii="Arial" w:eastAsia="Calibri" w:hAnsi="Arial" w:cs="Arial"/>
          <w:sz w:val="24"/>
          <w:szCs w:val="24"/>
        </w:rPr>
        <w:t xml:space="preserve"> sin que se hubiese efectuado ningún acto procesal, </w:t>
      </w:r>
      <w:r w:rsidR="00E45DBD" w:rsidRPr="00CB44F3">
        <w:rPr>
          <w:rFonts w:ascii="Arial" w:eastAsia="Calibri" w:hAnsi="Arial" w:cs="Arial"/>
          <w:sz w:val="24"/>
          <w:szCs w:val="24"/>
        </w:rPr>
        <w:t>esto, ya que a</w:t>
      </w:r>
      <w:r w:rsidR="00433320">
        <w:rPr>
          <w:rFonts w:ascii="Arial" w:eastAsia="Calibri" w:hAnsi="Arial" w:cs="Arial"/>
          <w:sz w:val="24"/>
          <w:szCs w:val="24"/>
        </w:rPr>
        <w:t xml:space="preserve"> foja</w:t>
      </w:r>
      <w:r w:rsidR="00E45DBD" w:rsidRPr="00CB44F3">
        <w:rPr>
          <w:rFonts w:ascii="Arial" w:eastAsia="Calibri" w:hAnsi="Arial" w:cs="Arial"/>
          <w:sz w:val="24"/>
          <w:szCs w:val="24"/>
        </w:rPr>
        <w:t xml:space="preserve"> </w:t>
      </w:r>
      <w:r w:rsidR="00B1244A">
        <w:rPr>
          <w:rFonts w:ascii="Arial" w:eastAsia="Calibri" w:hAnsi="Arial" w:cs="Arial"/>
          <w:sz w:val="24"/>
          <w:szCs w:val="24"/>
        </w:rPr>
        <w:t>siete</w:t>
      </w:r>
      <w:r w:rsidR="00687F08" w:rsidRPr="00F4367A">
        <w:rPr>
          <w:rFonts w:ascii="Arial" w:eastAsia="Calibri" w:hAnsi="Arial" w:cs="Arial"/>
          <w:sz w:val="24"/>
          <w:szCs w:val="24"/>
        </w:rPr>
        <w:t>,</w:t>
      </w:r>
      <w:r w:rsidR="00687F08">
        <w:rPr>
          <w:rFonts w:ascii="Arial" w:eastAsia="Calibri" w:hAnsi="Arial" w:cs="Arial"/>
          <w:sz w:val="24"/>
          <w:szCs w:val="24"/>
        </w:rPr>
        <w:t xml:space="preserve"> </w:t>
      </w:r>
      <w:r w:rsidR="00E45DBD"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00B1244A">
        <w:rPr>
          <w:rFonts w:ascii="Arial" w:eastAsia="Calibri" w:hAnsi="Arial" w:cs="Arial"/>
          <w:sz w:val="24"/>
          <w:szCs w:val="24"/>
          <w:u w:val="single"/>
        </w:rPr>
        <w:t>auto de fecha veinte de abril</w:t>
      </w:r>
      <w:r w:rsidR="00B36261">
        <w:rPr>
          <w:rFonts w:ascii="Arial" w:eastAsia="Calibri" w:hAnsi="Arial" w:cs="Arial"/>
          <w:sz w:val="24"/>
          <w:szCs w:val="24"/>
          <w:u w:val="single"/>
        </w:rPr>
        <w:t xml:space="preserve"> de</w:t>
      </w:r>
      <w:r w:rsidR="00E45DBD" w:rsidRPr="00E06ACB">
        <w:rPr>
          <w:rFonts w:ascii="Arial" w:eastAsia="Calibri" w:hAnsi="Arial" w:cs="Arial"/>
          <w:sz w:val="24"/>
          <w:szCs w:val="24"/>
          <w:u w:val="single"/>
        </w:rPr>
        <w:t xml:space="preserve"> dos mil </w:t>
      </w:r>
      <w:r w:rsidR="00DC16CB">
        <w:rPr>
          <w:rFonts w:ascii="Arial" w:eastAsia="Calibri" w:hAnsi="Arial" w:cs="Arial"/>
          <w:sz w:val="24"/>
          <w:szCs w:val="24"/>
          <w:u w:val="single"/>
        </w:rPr>
        <w:t>veintitrés</w:t>
      </w:r>
      <w:r w:rsidR="00E45DBD" w:rsidRPr="00E06ACB">
        <w:rPr>
          <w:rFonts w:ascii="Arial" w:eastAsia="Calibri" w:hAnsi="Arial" w:cs="Arial"/>
          <w:sz w:val="24"/>
          <w:szCs w:val="24"/>
        </w:rPr>
        <w:t>,</w:t>
      </w:r>
      <w:r w:rsidR="00FE25B7">
        <w:rPr>
          <w:rFonts w:ascii="Arial" w:eastAsia="Calibri" w:hAnsi="Arial" w:cs="Arial"/>
          <w:sz w:val="24"/>
          <w:szCs w:val="24"/>
        </w:rPr>
        <w:t xml:space="preserve"> (</w:t>
      </w:r>
      <w:proofErr w:type="spellStart"/>
      <w:r w:rsidR="00FE25B7">
        <w:rPr>
          <w:rFonts w:ascii="Arial" w:eastAsia="Calibri" w:hAnsi="Arial" w:cs="Arial"/>
          <w:sz w:val="24"/>
          <w:szCs w:val="24"/>
        </w:rPr>
        <w:t>ff</w:t>
      </w:r>
      <w:proofErr w:type="spellEnd"/>
      <w:r w:rsidR="00FE25B7">
        <w:rPr>
          <w:rFonts w:ascii="Arial" w:eastAsia="Calibri" w:hAnsi="Arial" w:cs="Arial"/>
          <w:sz w:val="24"/>
          <w:szCs w:val="24"/>
        </w:rPr>
        <w:t>. 7-9)</w:t>
      </w:r>
      <w:r w:rsidR="008654A4">
        <w:rPr>
          <w:rFonts w:ascii="Arial" w:eastAsia="Calibri" w:hAnsi="Arial" w:cs="Arial"/>
          <w:sz w:val="24"/>
          <w:szCs w:val="24"/>
        </w:rPr>
        <w:t xml:space="preserve"> </w:t>
      </w:r>
      <w:r w:rsidR="008654A4" w:rsidRPr="00FC7033">
        <w:rPr>
          <w:rFonts w:ascii="Arial" w:eastAsia="Calibri" w:hAnsi="Arial" w:cs="Arial"/>
          <w:sz w:val="24"/>
          <w:szCs w:val="24"/>
        </w:rPr>
        <w:t xml:space="preserve">mediante el cual </w:t>
      </w:r>
      <w:r w:rsidR="00433320" w:rsidRPr="00FC7033">
        <w:rPr>
          <w:rFonts w:ascii="Arial" w:eastAsia="Calibri" w:hAnsi="Arial" w:cs="Arial"/>
          <w:sz w:val="24"/>
          <w:szCs w:val="24"/>
        </w:rPr>
        <w:t>se</w:t>
      </w:r>
      <w:r w:rsidR="00B1244A" w:rsidRPr="00FC7033">
        <w:rPr>
          <w:rFonts w:ascii="Arial" w:eastAsia="Calibri" w:hAnsi="Arial" w:cs="Arial"/>
          <w:sz w:val="24"/>
          <w:szCs w:val="24"/>
        </w:rPr>
        <w:t xml:space="preserve"> admit</w:t>
      </w:r>
      <w:r w:rsidR="00245338">
        <w:rPr>
          <w:rFonts w:ascii="Arial" w:eastAsia="Calibri" w:hAnsi="Arial" w:cs="Arial"/>
          <w:sz w:val="24"/>
          <w:szCs w:val="24"/>
        </w:rPr>
        <w:t>ió</w:t>
      </w:r>
      <w:r w:rsidR="00B1244A" w:rsidRPr="00FC7033">
        <w:rPr>
          <w:rFonts w:ascii="Arial" w:eastAsia="Calibri" w:hAnsi="Arial" w:cs="Arial"/>
          <w:sz w:val="24"/>
          <w:szCs w:val="24"/>
        </w:rPr>
        <w:t xml:space="preserve"> la demanda y</w:t>
      </w:r>
      <w:r w:rsidR="00433320" w:rsidRPr="00FC7033">
        <w:rPr>
          <w:rFonts w:ascii="Arial" w:eastAsia="Calibri" w:hAnsi="Arial" w:cs="Arial"/>
          <w:sz w:val="24"/>
          <w:szCs w:val="24"/>
        </w:rPr>
        <w:t xml:space="preserve"> </w:t>
      </w:r>
      <w:r w:rsidR="007D2BD8" w:rsidRPr="00FC7033">
        <w:rPr>
          <w:rFonts w:ascii="Arial" w:eastAsia="Calibri" w:hAnsi="Arial" w:cs="Arial"/>
          <w:sz w:val="24"/>
          <w:szCs w:val="24"/>
        </w:rPr>
        <w:t xml:space="preserve">se </w:t>
      </w:r>
      <w:r w:rsidR="00B36261" w:rsidRPr="00FC7033">
        <w:rPr>
          <w:rFonts w:ascii="Arial" w:eastAsia="Calibri" w:hAnsi="Arial" w:cs="Arial"/>
          <w:sz w:val="24"/>
          <w:szCs w:val="24"/>
        </w:rPr>
        <w:t>comision</w:t>
      </w:r>
      <w:r w:rsidR="00245338">
        <w:rPr>
          <w:rFonts w:ascii="Arial" w:eastAsia="Calibri" w:hAnsi="Arial" w:cs="Arial"/>
          <w:sz w:val="24"/>
          <w:szCs w:val="24"/>
        </w:rPr>
        <w:t>ó</w:t>
      </w:r>
      <w:r w:rsidR="00B36261" w:rsidRPr="00FC7033">
        <w:rPr>
          <w:rFonts w:ascii="Arial" w:eastAsia="Calibri" w:hAnsi="Arial" w:cs="Arial"/>
          <w:sz w:val="24"/>
          <w:szCs w:val="24"/>
        </w:rPr>
        <w:t xml:space="preserve"> al </w:t>
      </w:r>
      <w:r w:rsidR="00245338">
        <w:rPr>
          <w:rFonts w:ascii="Arial" w:eastAsia="Calibri" w:hAnsi="Arial" w:cs="Arial"/>
          <w:sz w:val="24"/>
          <w:szCs w:val="24"/>
        </w:rPr>
        <w:t>a</w:t>
      </w:r>
      <w:r w:rsidR="00B36261" w:rsidRPr="00FC7033">
        <w:rPr>
          <w:rFonts w:ascii="Arial" w:eastAsia="Calibri" w:hAnsi="Arial" w:cs="Arial"/>
          <w:sz w:val="24"/>
          <w:szCs w:val="24"/>
        </w:rPr>
        <w:t>ctuario para que reali</w:t>
      </w:r>
      <w:r w:rsidR="00245338">
        <w:rPr>
          <w:rFonts w:ascii="Arial" w:eastAsia="Calibri" w:hAnsi="Arial" w:cs="Arial"/>
          <w:sz w:val="24"/>
          <w:szCs w:val="24"/>
        </w:rPr>
        <w:t>zara</w:t>
      </w:r>
      <w:r w:rsidR="00B36261" w:rsidRPr="00FC7033">
        <w:rPr>
          <w:rFonts w:ascii="Arial" w:eastAsia="Calibri" w:hAnsi="Arial" w:cs="Arial"/>
          <w:sz w:val="24"/>
          <w:szCs w:val="24"/>
        </w:rPr>
        <w:t xml:space="preserve"> </w:t>
      </w:r>
      <w:r w:rsidR="00E82A2B" w:rsidRPr="00FC7033">
        <w:rPr>
          <w:rFonts w:ascii="Arial" w:eastAsia="Calibri" w:hAnsi="Arial" w:cs="Arial"/>
          <w:sz w:val="24"/>
          <w:szCs w:val="24"/>
        </w:rPr>
        <w:t xml:space="preserve">el </w:t>
      </w:r>
      <w:r w:rsidR="00B36261" w:rsidRPr="00FC7033">
        <w:rPr>
          <w:rFonts w:ascii="Arial" w:eastAsia="Calibri" w:hAnsi="Arial" w:cs="Arial"/>
          <w:sz w:val="24"/>
          <w:szCs w:val="24"/>
        </w:rPr>
        <w:t>emplazamiento</w:t>
      </w:r>
      <w:r w:rsidR="00E82A2B" w:rsidRPr="00FC7033">
        <w:rPr>
          <w:rFonts w:ascii="Arial" w:eastAsia="Calibri" w:hAnsi="Arial" w:cs="Arial"/>
          <w:sz w:val="24"/>
          <w:szCs w:val="24"/>
        </w:rPr>
        <w:t xml:space="preserve"> respectivo</w:t>
      </w:r>
      <w:r w:rsidR="007D2BD8" w:rsidRPr="00FC7033">
        <w:rPr>
          <w:rFonts w:ascii="Arial" w:eastAsia="Calibri" w:hAnsi="Arial" w:cs="Arial"/>
          <w:sz w:val="24"/>
          <w:szCs w:val="24"/>
        </w:rPr>
        <w:t>,</w:t>
      </w:r>
      <w:r w:rsidR="00245338">
        <w:rPr>
          <w:rFonts w:ascii="Arial" w:eastAsia="Calibri" w:hAnsi="Arial" w:cs="Arial"/>
          <w:sz w:val="24"/>
          <w:szCs w:val="24"/>
        </w:rPr>
        <w:t xml:space="preserve"> fue el último acto procesal que consta en el presente juicio, siendo preciso señalar que</w:t>
      </w:r>
      <w:r w:rsidR="004E3976">
        <w:rPr>
          <w:rFonts w:ascii="Arial" w:eastAsia="Calibri" w:hAnsi="Arial" w:cs="Arial"/>
          <w:sz w:val="24"/>
          <w:szCs w:val="24"/>
        </w:rPr>
        <w:t>,</w:t>
      </w:r>
      <w:r w:rsidR="00245338">
        <w:rPr>
          <w:rFonts w:ascii="Arial" w:eastAsia="Calibri" w:hAnsi="Arial" w:cs="Arial"/>
          <w:sz w:val="24"/>
          <w:szCs w:val="24"/>
        </w:rPr>
        <w:t xml:space="preserve"> con antelación al referido acuerdo</w:t>
      </w:r>
      <w:r w:rsidR="004E3976">
        <w:rPr>
          <w:rFonts w:ascii="Arial" w:eastAsia="Calibri" w:hAnsi="Arial" w:cs="Arial"/>
          <w:sz w:val="24"/>
          <w:szCs w:val="24"/>
        </w:rPr>
        <w:t>,</w:t>
      </w:r>
      <w:r w:rsidR="00245338">
        <w:rPr>
          <w:rFonts w:ascii="Arial" w:eastAsia="Calibri" w:hAnsi="Arial" w:cs="Arial"/>
          <w:sz w:val="24"/>
          <w:szCs w:val="24"/>
        </w:rPr>
        <w:t xml:space="preserve"> obra glosado al expediente</w:t>
      </w:r>
      <w:r w:rsidR="00FE25B7">
        <w:rPr>
          <w:rFonts w:ascii="Arial" w:eastAsia="Calibri" w:hAnsi="Arial" w:cs="Arial"/>
          <w:sz w:val="24"/>
          <w:szCs w:val="24"/>
        </w:rPr>
        <w:t xml:space="preserve"> </w:t>
      </w:r>
      <w:r w:rsidR="00FE25B7" w:rsidRPr="00215DB4">
        <w:rPr>
          <w:rFonts w:ascii="Arial" w:eastAsia="Calibri" w:hAnsi="Arial" w:cs="Arial"/>
          <w:sz w:val="24"/>
          <w:szCs w:val="24"/>
          <w:u w:val="single"/>
        </w:rPr>
        <w:t>acuerdo de cuatro de abril de dos mil veintitrés</w:t>
      </w:r>
      <w:r w:rsidR="00FE25B7">
        <w:rPr>
          <w:rFonts w:ascii="Arial" w:eastAsia="Calibri" w:hAnsi="Arial" w:cs="Arial"/>
          <w:sz w:val="24"/>
          <w:szCs w:val="24"/>
        </w:rPr>
        <w:t xml:space="preserve"> (f. 6), mediante el cual se turnó a esta ponencia instructor, la demanda por la </w:t>
      </w:r>
      <w:r w:rsidR="00FE25B7">
        <w:rPr>
          <w:rFonts w:ascii="Arial" w:eastAsia="Calibri" w:hAnsi="Arial" w:cs="Arial"/>
          <w:sz w:val="24"/>
          <w:szCs w:val="24"/>
        </w:rPr>
        <w:lastRenderedPageBreak/>
        <w:t>Presidencia de este Tribunal</w:t>
      </w:r>
      <w:r w:rsidR="00433320" w:rsidRPr="00FC7033">
        <w:rPr>
          <w:rFonts w:ascii="Arial" w:eastAsia="Calibri" w:hAnsi="Arial" w:cs="Arial"/>
          <w:sz w:val="24"/>
          <w:szCs w:val="24"/>
        </w:rPr>
        <w:t>.</w:t>
      </w:r>
      <w:r w:rsidR="00D25B91" w:rsidRPr="00FC7033">
        <w:rPr>
          <w:rFonts w:ascii="Arial" w:eastAsia="Calibri" w:hAnsi="Arial" w:cs="Arial"/>
          <w:sz w:val="24"/>
          <w:szCs w:val="24"/>
        </w:rPr>
        <w:t>- -</w:t>
      </w:r>
      <w:r w:rsidR="00F4367A" w:rsidRPr="00FC7033">
        <w:rPr>
          <w:rFonts w:ascii="Arial" w:eastAsia="Calibri" w:hAnsi="Arial" w:cs="Arial"/>
          <w:sz w:val="24"/>
          <w:szCs w:val="24"/>
        </w:rPr>
        <w:t xml:space="preserve"> -</w:t>
      </w:r>
      <w:r w:rsidR="00B1244A" w:rsidRPr="00FC7033">
        <w:rPr>
          <w:rFonts w:ascii="Arial" w:eastAsia="Calibri" w:hAnsi="Arial" w:cs="Arial"/>
          <w:sz w:val="24"/>
          <w:szCs w:val="24"/>
        </w:rPr>
        <w:t xml:space="preserve"> - - - - -</w:t>
      </w:r>
      <w:r w:rsidR="00B1244A">
        <w:rPr>
          <w:rFonts w:ascii="Arial" w:eastAsia="Calibri" w:hAnsi="Arial" w:cs="Arial"/>
          <w:sz w:val="24"/>
          <w:szCs w:val="24"/>
        </w:rPr>
        <w:t xml:space="preserve"> - - - - - - - -</w:t>
      </w:r>
      <w:r w:rsidR="00A7216A">
        <w:rPr>
          <w:rFonts w:ascii="Arial" w:eastAsia="Calibri" w:hAnsi="Arial" w:cs="Arial"/>
          <w:sz w:val="24"/>
          <w:szCs w:val="24"/>
        </w:rPr>
        <w:t xml:space="preserve"> - - - - - - - - - - - - - - - - - - - - - - - -</w:t>
      </w:r>
      <w:r w:rsidR="00B1244A">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00E45DBD" w:rsidRPr="00F76829">
        <w:rPr>
          <w:rFonts w:ascii="Arial" w:eastAsia="Calibri" w:hAnsi="Arial" w:cs="Arial"/>
          <w:sz w:val="24"/>
          <w:szCs w:val="24"/>
        </w:rPr>
        <w:t xml:space="preserve"> </w:t>
      </w:r>
      <w:r w:rsidR="00E45DBD" w:rsidRPr="00E06ACB">
        <w:rPr>
          <w:rFonts w:ascii="Arial" w:eastAsia="Calibri" w:hAnsi="Arial" w:cs="Arial"/>
          <w:sz w:val="24"/>
          <w:szCs w:val="24"/>
        </w:rPr>
        <w:t xml:space="preserve">del </w:t>
      </w:r>
      <w:r w:rsidR="00B1244A">
        <w:rPr>
          <w:rFonts w:ascii="Arial" w:eastAsia="Calibri" w:hAnsi="Arial" w:cs="Arial"/>
          <w:sz w:val="24"/>
          <w:szCs w:val="24"/>
          <w:u w:val="single"/>
        </w:rPr>
        <w:t>veinte de abril</w:t>
      </w:r>
      <w:r w:rsidR="00433320">
        <w:rPr>
          <w:rFonts w:ascii="Arial" w:eastAsia="Calibri" w:hAnsi="Arial" w:cs="Arial"/>
          <w:sz w:val="24"/>
          <w:szCs w:val="24"/>
          <w:u w:val="single"/>
        </w:rPr>
        <w:t xml:space="preserve"> de </w:t>
      </w:r>
      <w:r w:rsidR="003F76CF" w:rsidRPr="00E06ACB">
        <w:rPr>
          <w:rFonts w:ascii="Arial" w:eastAsia="Calibri" w:hAnsi="Arial" w:cs="Arial"/>
          <w:sz w:val="24"/>
          <w:szCs w:val="24"/>
          <w:u w:val="single"/>
        </w:rPr>
        <w:t xml:space="preserve">dos mil </w:t>
      </w:r>
      <w:r w:rsidR="00873559" w:rsidRPr="00E06ACB">
        <w:rPr>
          <w:rFonts w:ascii="Arial" w:eastAsia="Calibri" w:hAnsi="Arial" w:cs="Arial"/>
          <w:sz w:val="24"/>
          <w:szCs w:val="24"/>
          <w:u w:val="single"/>
        </w:rPr>
        <w:t>veint</w:t>
      </w:r>
      <w:r w:rsidR="008654A4">
        <w:rPr>
          <w:rFonts w:ascii="Arial" w:eastAsia="Calibri" w:hAnsi="Arial" w:cs="Arial"/>
          <w:sz w:val="24"/>
          <w:szCs w:val="24"/>
          <w:u w:val="single"/>
        </w:rPr>
        <w:t>itrés</w:t>
      </w:r>
      <w:r w:rsidR="00740DEE" w:rsidRPr="00E06ACB">
        <w:rPr>
          <w:rFonts w:ascii="Arial" w:eastAsia="Calibri" w:hAnsi="Arial" w:cs="Arial"/>
          <w:sz w:val="24"/>
          <w:szCs w:val="24"/>
          <w:u w:val="single"/>
        </w:rPr>
        <w:t xml:space="preserve"> </w:t>
      </w:r>
      <w:r w:rsidR="003F76CF" w:rsidRPr="00E06ACB">
        <w:rPr>
          <w:rFonts w:ascii="Arial" w:eastAsia="Calibri" w:hAnsi="Arial" w:cs="Arial"/>
          <w:sz w:val="24"/>
          <w:szCs w:val="24"/>
          <w:u w:val="single"/>
        </w:rPr>
        <w:t xml:space="preserve">al </w:t>
      </w:r>
      <w:r w:rsidR="00B36261">
        <w:rPr>
          <w:rFonts w:ascii="Arial" w:eastAsia="Calibri" w:hAnsi="Arial" w:cs="Arial"/>
          <w:sz w:val="24"/>
          <w:szCs w:val="24"/>
          <w:u w:val="single"/>
        </w:rPr>
        <w:t>once</w:t>
      </w:r>
      <w:r w:rsidR="007947B0">
        <w:rPr>
          <w:rFonts w:ascii="Arial" w:eastAsia="Calibri" w:hAnsi="Arial" w:cs="Arial"/>
          <w:sz w:val="24"/>
          <w:szCs w:val="24"/>
          <w:u w:val="single"/>
        </w:rPr>
        <w:t xml:space="preserve"> </w:t>
      </w:r>
      <w:r w:rsidR="00B36261">
        <w:rPr>
          <w:rFonts w:ascii="Arial" w:eastAsia="Calibri" w:hAnsi="Arial" w:cs="Arial"/>
          <w:sz w:val="24"/>
          <w:szCs w:val="24"/>
          <w:u w:val="single"/>
        </w:rPr>
        <w:t>de junio</w:t>
      </w:r>
      <w:r w:rsidR="00740DEE" w:rsidRPr="00E06ACB">
        <w:rPr>
          <w:rFonts w:ascii="Arial" w:eastAsia="Calibri" w:hAnsi="Arial" w:cs="Arial"/>
          <w:sz w:val="24"/>
          <w:szCs w:val="24"/>
          <w:u w:val="single"/>
        </w:rPr>
        <w:t xml:space="preserve"> </w:t>
      </w:r>
      <w:r w:rsidR="00433320">
        <w:rPr>
          <w:rFonts w:ascii="Arial" w:eastAsia="Calibri" w:hAnsi="Arial" w:cs="Arial"/>
          <w:sz w:val="24"/>
          <w:szCs w:val="24"/>
          <w:u w:val="single"/>
        </w:rPr>
        <w:t>de dos mil veinticuatro</w:t>
      </w:r>
      <w:r w:rsidR="00433320">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B1244A">
        <w:rPr>
          <w:rFonts w:ascii="Arial" w:eastAsia="Calibri" w:hAnsi="Arial" w:cs="Arial"/>
          <w:b/>
          <w:bCs/>
          <w:sz w:val="24"/>
          <w:szCs w:val="24"/>
          <w:u w:val="single"/>
        </w:rPr>
        <w:t xml:space="preserve">cuatrocientos  dieciocho </w:t>
      </w:r>
      <w:r w:rsidR="00B36261">
        <w:rPr>
          <w:rFonts w:ascii="Arial" w:eastAsia="Calibri" w:hAnsi="Arial" w:cs="Arial"/>
          <w:b/>
          <w:bCs/>
          <w:sz w:val="24"/>
          <w:szCs w:val="24"/>
          <w:u w:val="single"/>
        </w:rPr>
        <w:t>días</w:t>
      </w:r>
      <w:r w:rsidR="003F76CF" w:rsidRPr="001C4456">
        <w:rPr>
          <w:rFonts w:ascii="Arial" w:eastAsia="Calibri" w:hAnsi="Arial" w:cs="Arial"/>
          <w:b/>
          <w:bCs/>
          <w:sz w:val="24"/>
          <w:szCs w:val="24"/>
          <w:u w:val="single"/>
        </w:rPr>
        <w:t xml:space="preserve"> (</w:t>
      </w:r>
      <w:r w:rsidR="00B1244A">
        <w:rPr>
          <w:rFonts w:ascii="Arial" w:eastAsia="Calibri" w:hAnsi="Arial" w:cs="Arial"/>
          <w:b/>
          <w:bCs/>
          <w:sz w:val="24"/>
          <w:szCs w:val="24"/>
          <w:u w:val="single"/>
        </w:rPr>
        <w:t>418</w:t>
      </w:r>
      <w:r w:rsidR="003F76CF" w:rsidRPr="001C4456">
        <w:rPr>
          <w:rFonts w:ascii="Arial" w:eastAsia="Calibri" w:hAnsi="Arial" w:cs="Arial"/>
          <w:b/>
          <w:bCs/>
          <w:sz w:val="24"/>
          <w:szCs w:val="24"/>
          <w:u w:val="single"/>
        </w:rPr>
        <w:t>) naturales</w:t>
      </w:r>
      <w:r w:rsidR="003F76CF" w:rsidRPr="001C4456">
        <w:rPr>
          <w:rFonts w:ascii="Arial" w:eastAsia="Calibri" w:hAnsi="Arial" w:cs="Arial"/>
          <w:sz w:val="24"/>
          <w:szCs w:val="24"/>
        </w:rPr>
        <w:t>,</w:t>
      </w:r>
      <w:r w:rsidR="00E45DBD"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E45DBD" w:rsidRPr="00CB6809">
        <w:rPr>
          <w:rFonts w:ascii="Arial" w:eastAsia="Calibri" w:hAnsi="Arial" w:cs="Arial"/>
          <w:sz w:val="24"/>
          <w:szCs w:val="24"/>
        </w:rPr>
        <w:t xml:space="preserve">haya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00E45DBD" w:rsidRPr="00CB6809">
        <w:rPr>
          <w:rFonts w:ascii="Arial" w:eastAsia="Calibri" w:hAnsi="Arial" w:cs="Arial"/>
          <w:sz w:val="24"/>
          <w:szCs w:val="24"/>
        </w:rPr>
        <w:t>promoción tend</w:t>
      </w:r>
      <w:r w:rsidR="00512C49">
        <w:rPr>
          <w:rFonts w:ascii="Arial" w:eastAsia="Calibri" w:hAnsi="Arial" w:cs="Arial"/>
          <w:sz w:val="24"/>
          <w:szCs w:val="24"/>
        </w:rPr>
        <w:t>i</w:t>
      </w:r>
      <w:r w:rsidR="00E45DBD"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00E45DBD" w:rsidRPr="00CB6809">
        <w:rPr>
          <w:rFonts w:ascii="Arial" w:eastAsia="Calibri" w:hAnsi="Arial" w:cs="Arial"/>
          <w:sz w:val="24"/>
          <w:szCs w:val="24"/>
        </w:rPr>
        <w:t>, o sin que se hubiese celebrado acto procesal alguno, por lo que se actualiza la causal de sobreseimiento de estudio, toda vez, que se considera un desin</w:t>
      </w:r>
      <w:r w:rsidR="001C4456">
        <w:rPr>
          <w:rFonts w:ascii="Arial" w:eastAsia="Calibri" w:hAnsi="Arial" w:cs="Arial"/>
          <w:sz w:val="24"/>
          <w:szCs w:val="24"/>
        </w:rPr>
        <w:t xml:space="preserve">terés tácito de la parte actora </w:t>
      </w:r>
      <w:r w:rsidR="00631625" w:rsidRPr="00631625">
        <w:rPr>
          <w:rFonts w:ascii="Arial" w:eastAsia="Calibri" w:hAnsi="Arial" w:cs="Arial"/>
          <w:b/>
          <w:sz w:val="24"/>
          <w:szCs w:val="24"/>
        </w:rPr>
        <w:t>**** **** **** ****</w:t>
      </w:r>
      <w:r w:rsidR="00B36261">
        <w:rPr>
          <w:rFonts w:ascii="Arial" w:eastAsia="Calibri" w:hAnsi="Arial" w:cs="Arial"/>
          <w:b/>
          <w:bCs/>
          <w:sz w:val="24"/>
          <w:szCs w:val="24"/>
        </w:rPr>
        <w:t>,</w:t>
      </w:r>
      <w:r w:rsidR="003F76CF">
        <w:rPr>
          <w:rFonts w:ascii="Arial" w:eastAsia="Calibri" w:hAnsi="Arial" w:cs="Arial"/>
          <w:b/>
          <w:bCs/>
          <w:sz w:val="24"/>
          <w:szCs w:val="24"/>
        </w:rPr>
        <w:t xml:space="preserve"> </w:t>
      </w:r>
      <w:r w:rsidR="00E45DBD"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r w:rsidR="00EA3B5F">
        <w:rPr>
          <w:rFonts w:ascii="Arial" w:eastAsia="Calibri" w:hAnsi="Arial" w:cs="Arial"/>
          <w:sz w:val="24"/>
          <w:szCs w:val="24"/>
        </w:rPr>
        <w:t xml:space="preserve">- </w:t>
      </w:r>
      <w:r w:rsidR="00936A2C">
        <w:rPr>
          <w:rFonts w:ascii="Arial" w:eastAsia="Calibri" w:hAnsi="Arial" w:cs="Arial"/>
          <w:sz w:val="24"/>
          <w:szCs w:val="24"/>
        </w:rPr>
        <w:t xml:space="preserve">- </w:t>
      </w:r>
      <w:r w:rsidR="00C56260">
        <w:rPr>
          <w:rFonts w:ascii="Arial" w:eastAsia="Calibri" w:hAnsi="Arial" w:cs="Arial"/>
          <w:sz w:val="24"/>
          <w:szCs w:val="24"/>
        </w:rPr>
        <w:t>-</w:t>
      </w:r>
      <w:r w:rsidR="00D10E49">
        <w:rPr>
          <w:rFonts w:ascii="Arial" w:eastAsia="Calibri" w:hAnsi="Arial" w:cs="Arial"/>
          <w:sz w:val="24"/>
          <w:szCs w:val="24"/>
        </w:rPr>
        <w:t xml:space="preserve"> - -</w:t>
      </w:r>
      <w:r w:rsidR="00DE1EEC">
        <w:rPr>
          <w:rFonts w:ascii="Arial" w:eastAsia="Calibri" w:hAnsi="Arial" w:cs="Arial"/>
          <w:sz w:val="24"/>
          <w:szCs w:val="24"/>
        </w:rPr>
        <w:t xml:space="preserve"> - - - - - - - - - - - - - - - - - - - - - - - - - - -</w:t>
      </w:r>
      <w:r w:rsidR="00E06ACB">
        <w:rPr>
          <w:rFonts w:ascii="Arial" w:eastAsia="Calibri" w:hAnsi="Arial" w:cs="Arial"/>
          <w:sz w:val="24"/>
          <w:szCs w:val="24"/>
        </w:rPr>
        <w:t xml:space="preserve"> </w:t>
      </w:r>
      <w:bookmarkEnd w:id="1"/>
      <w:r w:rsidR="0077682B" w:rsidRPr="00844694">
        <w:rPr>
          <w:rFonts w:ascii="Arial" w:eastAsia="Calibri" w:hAnsi="Arial" w:cs="Arial"/>
          <w:sz w:val="24"/>
          <w:szCs w:val="24"/>
        </w:rPr>
        <w:t xml:space="preserve">Con el fin de ilustrar </w:t>
      </w:r>
      <w:r w:rsidR="0077682B">
        <w:rPr>
          <w:rFonts w:ascii="Arial" w:eastAsia="Calibri" w:hAnsi="Arial" w:cs="Arial"/>
          <w:sz w:val="24"/>
          <w:szCs w:val="24"/>
        </w:rPr>
        <w:t xml:space="preserve">el transcurso de los cien días naturales aducidos </w:t>
      </w:r>
      <w:r w:rsidR="0077682B" w:rsidRPr="00844694">
        <w:rPr>
          <w:rFonts w:ascii="Arial" w:eastAsia="Calibri" w:hAnsi="Arial" w:cs="Arial"/>
          <w:sz w:val="24"/>
          <w:szCs w:val="24"/>
        </w:rPr>
        <w:t xml:space="preserve">para </w:t>
      </w:r>
      <w:r w:rsidR="0077682B">
        <w:rPr>
          <w:rFonts w:ascii="Arial" w:eastAsia="Calibri" w:hAnsi="Arial" w:cs="Arial"/>
          <w:sz w:val="24"/>
          <w:szCs w:val="24"/>
        </w:rPr>
        <w:t>que opere el sobreseimiento</w:t>
      </w:r>
      <w:r w:rsidR="0077682B" w:rsidRPr="00844694">
        <w:rPr>
          <w:rFonts w:ascii="Arial" w:eastAsia="Calibri" w:hAnsi="Arial" w:cs="Arial"/>
          <w:sz w:val="24"/>
          <w:szCs w:val="24"/>
        </w:rPr>
        <w:t>, se procede a mostrar el siguiente cuadro:</w:t>
      </w:r>
      <w:r w:rsidR="0077682B">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08436070" w:rsidR="0077682B" w:rsidRPr="00DE1E40" w:rsidRDefault="0077682B" w:rsidP="00936A2C">
            <w:pPr>
              <w:jc w:val="center"/>
              <w:rPr>
                <w:b/>
              </w:rPr>
            </w:pPr>
            <w:r w:rsidRPr="00DE1E40">
              <w:rPr>
                <w:b/>
              </w:rPr>
              <w:t xml:space="preserve">Días transcurridos al </w:t>
            </w:r>
            <w:r w:rsidR="00B36261">
              <w:rPr>
                <w:b/>
              </w:rPr>
              <w:t>11</w:t>
            </w:r>
            <w:r w:rsidR="0010551C">
              <w:rPr>
                <w:b/>
              </w:rPr>
              <w:t xml:space="preserve"> </w:t>
            </w:r>
            <w:r w:rsidR="00B36261">
              <w:rPr>
                <w:b/>
              </w:rPr>
              <w:t>de junio</w:t>
            </w:r>
            <w:r w:rsidR="00165196">
              <w:rPr>
                <w:b/>
              </w:rPr>
              <w:t xml:space="preserve"> </w:t>
            </w:r>
            <w:r w:rsidRPr="00DE1E40">
              <w:rPr>
                <w:b/>
              </w:rPr>
              <w:t>de 2024</w:t>
            </w:r>
          </w:p>
        </w:tc>
      </w:tr>
      <w:tr w:rsidR="0077682B" w:rsidRPr="00DE1E40" w14:paraId="38B891BB" w14:textId="77777777" w:rsidTr="0031290A">
        <w:trPr>
          <w:trHeight w:val="878"/>
        </w:trPr>
        <w:tc>
          <w:tcPr>
            <w:tcW w:w="1858" w:type="dxa"/>
          </w:tcPr>
          <w:p w14:paraId="0855FB78" w14:textId="37962281" w:rsidR="0077682B" w:rsidRPr="00DE1E40" w:rsidRDefault="00B1244A" w:rsidP="00D10E49">
            <w:pPr>
              <w:jc w:val="center"/>
              <w:rPr>
                <w:bCs/>
                <w:sz w:val="22"/>
                <w:szCs w:val="22"/>
              </w:rPr>
            </w:pPr>
            <w:r>
              <w:rPr>
                <w:bCs/>
                <w:sz w:val="22"/>
                <w:szCs w:val="22"/>
              </w:rPr>
              <w:t>20 de abril</w:t>
            </w:r>
            <w:r w:rsidR="00D10E49">
              <w:rPr>
                <w:bCs/>
                <w:sz w:val="22"/>
                <w:szCs w:val="22"/>
              </w:rPr>
              <w:t xml:space="preserve"> de </w:t>
            </w:r>
            <w:r w:rsidR="008654A4">
              <w:rPr>
                <w:bCs/>
                <w:sz w:val="22"/>
                <w:szCs w:val="22"/>
              </w:rPr>
              <w:t>2023</w:t>
            </w:r>
          </w:p>
        </w:tc>
        <w:tc>
          <w:tcPr>
            <w:tcW w:w="2091" w:type="dxa"/>
          </w:tcPr>
          <w:p w14:paraId="659CD813" w14:textId="36DC3178" w:rsidR="0077682B" w:rsidRPr="00DE1E40" w:rsidRDefault="00E70A59" w:rsidP="00D10E49">
            <w:pPr>
              <w:jc w:val="center"/>
              <w:rPr>
                <w:sz w:val="22"/>
                <w:szCs w:val="22"/>
              </w:rPr>
            </w:pPr>
            <w:r>
              <w:rPr>
                <w:sz w:val="22"/>
                <w:szCs w:val="22"/>
              </w:rPr>
              <w:t xml:space="preserve"> </w:t>
            </w:r>
            <w:r w:rsidR="00B1244A">
              <w:rPr>
                <w:sz w:val="22"/>
                <w:szCs w:val="22"/>
              </w:rPr>
              <w:t>29 de julio</w:t>
            </w:r>
            <w:r w:rsidR="00D10E49">
              <w:rPr>
                <w:sz w:val="22"/>
                <w:szCs w:val="22"/>
              </w:rPr>
              <w:t xml:space="preserve"> de </w:t>
            </w:r>
            <w:r w:rsidR="009958B3">
              <w:rPr>
                <w:sz w:val="22"/>
                <w:szCs w:val="22"/>
              </w:rPr>
              <w:t>2023</w:t>
            </w:r>
          </w:p>
        </w:tc>
        <w:tc>
          <w:tcPr>
            <w:tcW w:w="1990" w:type="dxa"/>
          </w:tcPr>
          <w:p w14:paraId="4D1A348E" w14:textId="43C512A1" w:rsidR="0077682B" w:rsidRPr="00DE1E40" w:rsidRDefault="00D10E49" w:rsidP="00D10E49">
            <w:pPr>
              <w:jc w:val="center"/>
              <w:rPr>
                <w:sz w:val="22"/>
                <w:szCs w:val="22"/>
              </w:rPr>
            </w:pPr>
            <w:r>
              <w:rPr>
                <w:sz w:val="22"/>
                <w:szCs w:val="22"/>
              </w:rPr>
              <w:t xml:space="preserve"> </w:t>
            </w:r>
            <w:r w:rsidR="00B1244A">
              <w:rPr>
                <w:sz w:val="22"/>
                <w:szCs w:val="22"/>
              </w:rPr>
              <w:t>30 de julio</w:t>
            </w:r>
            <w:r w:rsidR="008654A4">
              <w:rPr>
                <w:sz w:val="22"/>
                <w:szCs w:val="22"/>
              </w:rPr>
              <w:t xml:space="preserve"> </w:t>
            </w:r>
            <w:r w:rsidR="00B73A09">
              <w:rPr>
                <w:sz w:val="22"/>
                <w:szCs w:val="22"/>
              </w:rPr>
              <w:t>de</w:t>
            </w:r>
            <w:r>
              <w:rPr>
                <w:sz w:val="22"/>
                <w:szCs w:val="22"/>
              </w:rPr>
              <w:t xml:space="preserve"> </w:t>
            </w:r>
            <w:r w:rsidR="009958B3">
              <w:rPr>
                <w:sz w:val="22"/>
                <w:szCs w:val="22"/>
              </w:rPr>
              <w:t>2023</w:t>
            </w:r>
          </w:p>
        </w:tc>
        <w:tc>
          <w:tcPr>
            <w:tcW w:w="2551" w:type="dxa"/>
          </w:tcPr>
          <w:p w14:paraId="015F1BC2" w14:textId="176153EA" w:rsidR="0077682B" w:rsidRPr="00DE1E40" w:rsidRDefault="00B1244A" w:rsidP="009958B3">
            <w:pPr>
              <w:jc w:val="center"/>
              <w:rPr>
                <w:sz w:val="22"/>
                <w:szCs w:val="22"/>
              </w:rPr>
            </w:pPr>
            <w:r>
              <w:rPr>
                <w:sz w:val="22"/>
                <w:szCs w:val="22"/>
              </w:rPr>
              <w:t>418</w:t>
            </w:r>
            <w:r w:rsidR="008654A4">
              <w:rPr>
                <w:sz w:val="22"/>
                <w:szCs w:val="22"/>
              </w:rPr>
              <w:t xml:space="preserve"> </w:t>
            </w:r>
            <w:r w:rsidR="0010551C">
              <w:rPr>
                <w:sz w:val="22"/>
                <w:szCs w:val="22"/>
              </w:rPr>
              <w:t>días</w:t>
            </w:r>
          </w:p>
        </w:tc>
      </w:tr>
    </w:tbl>
    <w:p w14:paraId="1BBB8BE1" w14:textId="5E06F193" w:rsidR="0077682B" w:rsidRDefault="0077682B" w:rsidP="00955A9C">
      <w:pPr>
        <w:tabs>
          <w:tab w:val="left" w:pos="195"/>
          <w:tab w:val="left" w:pos="8172"/>
        </w:tabs>
        <w:spacing w:after="200" w:line="360" w:lineRule="auto"/>
        <w:rPr>
          <w:rFonts w:ascii="Arial" w:eastAsia="Calibri" w:hAnsi="Arial" w:cs="Arial"/>
          <w:sz w:val="24"/>
          <w:szCs w:val="24"/>
        </w:rPr>
      </w:pPr>
    </w:p>
    <w:p w14:paraId="487705FD" w14:textId="72345051" w:rsidR="00B869C9" w:rsidRDefault="002B1CBE"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rPr>
        <w:t xml:space="preserve">- - - </w:t>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 - - - - - - - - - - - - - - - - - - - - - - - - - - </w:t>
      </w:r>
      <w:r w:rsidR="004D3298">
        <w:rPr>
          <w:rFonts w:ascii="Arial" w:eastAsia="Calibri" w:hAnsi="Arial" w:cs="Arial"/>
          <w:sz w:val="24"/>
          <w:szCs w:val="24"/>
          <w:lang w:val="es-ES"/>
        </w:rPr>
        <w:t xml:space="preserve">- - - En ese orden de ideas, cabe señalar que, a diferencia de otras legislaciones en las existe la figura o institución jurídica denominada “caducidad de la instancia” como en el Código de Procedimientos Civiles para el Estado de Sonora (aplicado supletoriamente a la Ley de Justicia Administrativa para el Estado de Sonora) o el Código de Comercio; la ley de materia prevé la causal de sobreseimiento por una inactividad general del proceso, situación que aunque tiene un efecto similar o equivalente a la caducidad, en realidad comprende </w:t>
      </w:r>
      <w:r w:rsidR="004D3298">
        <w:rPr>
          <w:rFonts w:ascii="Arial" w:eastAsia="Calibri" w:hAnsi="Arial" w:cs="Arial"/>
          <w:sz w:val="24"/>
          <w:szCs w:val="24"/>
          <w:lang w:val="es-ES"/>
        </w:rPr>
        <w:lastRenderedPageBreak/>
        <w:t xml:space="preserve">supuestos y elementos distintos, por lo que no puede decirse que la llamada caducidad pueda hacerse extensiva a la ley administrativa estadual, pues además de no ser compatible, la supletoriedad considerada para el código procesal civil no puede llegar al grado de variar una regulación concreta que no encuentra deficiencia en su conformación pues la Ley de Justicia Administrativa dispone en el multicitado artículo 87 [fracción V] que el sobreseimiento cuando </w:t>
      </w:r>
      <w:r w:rsidR="004D3298" w:rsidRPr="00CF6DA5">
        <w:rPr>
          <w:rFonts w:ascii="Arial" w:eastAsia="Calibri" w:hAnsi="Arial" w:cs="Arial"/>
          <w:i/>
          <w:iCs/>
          <w:sz w:val="24"/>
          <w:szCs w:val="24"/>
          <w:lang w:val="es-ES"/>
        </w:rPr>
        <w:t xml:space="preserve">“No se haya efectuado ningún acto procesal durante el término de cien días </w:t>
      </w:r>
      <w:r w:rsidR="004D3298" w:rsidRPr="00CF6DA5">
        <w:rPr>
          <w:rFonts w:ascii="Arial" w:eastAsia="Calibri" w:hAnsi="Arial" w:cs="Arial"/>
          <w:sz w:val="24"/>
          <w:szCs w:val="24"/>
          <w:lang w:val="es-ES"/>
        </w:rPr>
        <w:t>naturales</w:t>
      </w:r>
      <w:r w:rsidR="004D3298" w:rsidRPr="00E855B0">
        <w:rPr>
          <w:rFonts w:ascii="Arial" w:eastAsia="Calibri" w:hAnsi="Arial" w:cs="Arial"/>
          <w:sz w:val="24"/>
          <w:szCs w:val="24"/>
          <w:lang w:val="es-ES"/>
        </w:rPr>
        <w:t xml:space="preserve"> (…)”</w:t>
      </w:r>
      <w:r w:rsidR="004D3298">
        <w:rPr>
          <w:rFonts w:ascii="Arial" w:eastAsia="Calibri" w:hAnsi="Arial" w:cs="Arial"/>
          <w:sz w:val="24"/>
          <w:szCs w:val="24"/>
          <w:lang w:val="es-ES"/>
        </w:rPr>
        <w:t xml:space="preserve">; siendo que al respecto es importante hacer hincapié en el alcance y significación de la expresión “acto procesal” el cual, se ha descrito como la </w:t>
      </w:r>
      <w:r w:rsidR="004D3298" w:rsidRPr="00CF6DA5">
        <w:rPr>
          <w:rFonts w:ascii="Arial" w:eastAsia="Calibri" w:hAnsi="Arial" w:cs="Arial"/>
          <w:i/>
          <w:iCs/>
          <w:sz w:val="24"/>
          <w:szCs w:val="24"/>
          <w:lang w:val="es-ES"/>
        </w:rPr>
        <w:t>“Actuación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w:t>
      </w:r>
      <w:r w:rsidR="004D3298">
        <w:rPr>
          <w:rFonts w:ascii="Arial" w:eastAsia="Calibri" w:hAnsi="Arial" w:cs="Arial"/>
          <w:sz w:val="24"/>
          <w:szCs w:val="24"/>
          <w:lang w:val="es-ES"/>
        </w:rPr>
        <w:t>; como el</w:t>
      </w:r>
      <w:r w:rsidR="004D3298" w:rsidRPr="00CF6DA5">
        <w:rPr>
          <w:rFonts w:ascii="Arial" w:eastAsia="Calibri" w:hAnsi="Arial" w:cs="Arial"/>
          <w:sz w:val="24"/>
          <w:szCs w:val="24"/>
          <w:lang w:val="es-ES"/>
        </w:rPr>
        <w:t xml:space="preserve"> </w:t>
      </w:r>
      <w:r w:rsidR="004D3298" w:rsidRPr="00CF6DA5">
        <w:rPr>
          <w:rFonts w:ascii="Arial" w:eastAsia="Calibri" w:hAnsi="Arial" w:cs="Arial"/>
          <w:i/>
          <w:iCs/>
          <w:sz w:val="24"/>
          <w:szCs w:val="24"/>
          <w:lang w:val="es-ES"/>
        </w:rPr>
        <w:t>“Acto jurídico realizado por las partes (públicas o privadas) o el juez (o en su caso, el tribunal) en el proceso, que tiene efectos en la relación jurídica procesal</w:t>
      </w:r>
      <w:r w:rsidR="004D3298" w:rsidRPr="00CF6DA5">
        <w:rPr>
          <w:rStyle w:val="FootnoteReference"/>
          <w:rFonts w:ascii="Arial" w:eastAsia="Calibri" w:hAnsi="Arial" w:cs="Arial"/>
          <w:i/>
          <w:iCs/>
          <w:sz w:val="24"/>
          <w:szCs w:val="24"/>
          <w:lang w:val="es-ES"/>
        </w:rPr>
        <w:footnoteReference w:id="1"/>
      </w:r>
      <w:r w:rsidR="004D3298" w:rsidRPr="00CF6DA5">
        <w:rPr>
          <w:rFonts w:ascii="Arial" w:eastAsia="Calibri" w:hAnsi="Arial" w:cs="Arial"/>
          <w:i/>
          <w:iCs/>
          <w:sz w:val="24"/>
          <w:szCs w:val="24"/>
          <w:lang w:val="es-ES"/>
        </w:rPr>
        <w:t>”</w:t>
      </w:r>
      <w:r w:rsidR="004D3298">
        <w:rPr>
          <w:rFonts w:ascii="Arial" w:eastAsia="Calibri" w:hAnsi="Arial" w:cs="Arial"/>
          <w:sz w:val="24"/>
          <w:szCs w:val="24"/>
          <w:lang w:val="es-ES"/>
        </w:rPr>
        <w:t xml:space="preserve"> o bien como </w:t>
      </w:r>
      <w:r w:rsidR="004D3298" w:rsidRPr="00CF6DA5">
        <w:rPr>
          <w:rFonts w:ascii="Arial" w:eastAsia="Calibri" w:hAnsi="Arial" w:cs="Arial"/>
          <w:i/>
          <w:iCs/>
          <w:sz w:val="24"/>
          <w:szCs w:val="24"/>
          <w:lang w:val="es-ES"/>
        </w:rPr>
        <w:t>“El acto jurídico emanado de las partes, de los </w:t>
      </w:r>
      <w:hyperlink r:id="rId8" w:history="1">
        <w:r w:rsidR="004D3298" w:rsidRPr="00CF6DA5">
          <w:rPr>
            <w:rFonts w:ascii="Arial" w:eastAsia="Calibri" w:hAnsi="Arial" w:cs="Arial"/>
            <w:i/>
            <w:iCs/>
            <w:sz w:val="24"/>
            <w:szCs w:val="24"/>
            <w:lang w:val="es-ES"/>
          </w:rPr>
          <w:t>agentes</w:t>
        </w:r>
      </w:hyperlink>
      <w:r w:rsidR="004D3298" w:rsidRPr="00CF6DA5">
        <w:rPr>
          <w:rFonts w:ascii="Arial" w:eastAsia="Calibri" w:hAnsi="Arial" w:cs="Arial"/>
          <w:i/>
          <w:iCs/>
          <w:sz w:val="24"/>
          <w:szCs w:val="24"/>
          <w:lang w:val="es-ES"/>
        </w:rPr>
        <w:t> de la </w:t>
      </w:r>
      <w:hyperlink r:id="rId9" w:history="1">
        <w:r w:rsidR="004D3298" w:rsidRPr="00CF6DA5">
          <w:rPr>
            <w:rFonts w:ascii="Arial" w:eastAsia="Calibri" w:hAnsi="Arial" w:cs="Arial"/>
            <w:i/>
            <w:iCs/>
            <w:sz w:val="24"/>
            <w:szCs w:val="24"/>
            <w:lang w:val="es-ES"/>
          </w:rPr>
          <w:t>jurisdicción</w:t>
        </w:r>
      </w:hyperlink>
      <w:r w:rsidR="004D3298" w:rsidRPr="00CF6DA5">
        <w:rPr>
          <w:rFonts w:ascii="Arial" w:eastAsia="Calibri" w:hAnsi="Arial" w:cs="Arial"/>
          <w:i/>
          <w:iCs/>
          <w:sz w:val="24"/>
          <w:szCs w:val="24"/>
          <w:lang w:val="es-ES"/>
        </w:rPr>
        <w:t> o aun de los </w:t>
      </w:r>
      <w:hyperlink r:id="rId10" w:history="1">
        <w:r w:rsidR="004D3298" w:rsidRPr="00CF6DA5">
          <w:rPr>
            <w:rFonts w:ascii="Arial" w:eastAsia="Calibri" w:hAnsi="Arial" w:cs="Arial"/>
            <w:i/>
            <w:iCs/>
            <w:sz w:val="24"/>
            <w:szCs w:val="24"/>
            <w:lang w:val="es-ES"/>
          </w:rPr>
          <w:t>terceros</w:t>
        </w:r>
      </w:hyperlink>
      <w:r w:rsidR="004D3298" w:rsidRPr="00CF6DA5">
        <w:rPr>
          <w:rFonts w:ascii="Arial" w:eastAsia="Calibri" w:hAnsi="Arial" w:cs="Arial"/>
          <w:i/>
          <w:iCs/>
          <w:sz w:val="24"/>
          <w:szCs w:val="24"/>
          <w:lang w:val="es-ES"/>
        </w:rPr>
        <w:t> ligados al proceso, susceptible de crear, modificar o extinguir efectos procesales</w:t>
      </w:r>
      <w:r w:rsidR="004D3298" w:rsidRPr="00CF6DA5">
        <w:rPr>
          <w:rStyle w:val="FootnoteReference"/>
          <w:rFonts w:ascii="Segoe UI" w:hAnsi="Segoe UI" w:cs="Segoe UI"/>
          <w:i/>
          <w:iCs/>
          <w:color w:val="495057"/>
          <w:shd w:val="clear" w:color="auto" w:fill="FFFFFF"/>
        </w:rPr>
        <w:footnoteReference w:id="2"/>
      </w:r>
      <w:r w:rsidR="004D3298" w:rsidRPr="00CF6DA5">
        <w:rPr>
          <w:rFonts w:ascii="Arial" w:hAnsi="Arial" w:cs="Arial"/>
          <w:i/>
          <w:iCs/>
          <w:color w:val="495057"/>
          <w:sz w:val="24"/>
          <w:szCs w:val="24"/>
          <w:shd w:val="clear" w:color="auto" w:fill="FFFFFF"/>
        </w:rPr>
        <w:t>”</w:t>
      </w:r>
      <w:r w:rsidR="004D3298" w:rsidRPr="00CF6DA5">
        <w:rPr>
          <w:rFonts w:ascii="Arial" w:eastAsia="Calibri" w:hAnsi="Arial" w:cs="Arial"/>
          <w:i/>
          <w:iCs/>
          <w:sz w:val="24"/>
          <w:szCs w:val="24"/>
          <w:lang w:val="es-ES"/>
        </w:rPr>
        <w:t xml:space="preserve">. - - - - - - </w:t>
      </w:r>
      <w:r w:rsidR="004D3298">
        <w:rPr>
          <w:rFonts w:ascii="Arial" w:eastAsia="Calibri" w:hAnsi="Arial" w:cs="Arial"/>
          <w:i/>
          <w:iCs/>
          <w:sz w:val="24"/>
          <w:szCs w:val="24"/>
          <w:lang w:val="es-ES"/>
        </w:rPr>
        <w:t xml:space="preserve">- - - - - - - - - - - - - - - - - - - - - - - - - De tal suerte que la expresión acto procesal considera cualquier acto jurídico de las partes, por lo que, con independencia de quién genere el estatismo de un procedimiento, el numeral en cita prevé el transcurso de un tiempo determinado para que opere el sobreseimiento en cuestión; y todavía más que las partes tienen expedito su derecho y oportunidad para en todo caso solicitar el impulso del procedimiento, tornándose dicha petición ante la autoridad en un acto procesal en sí mismo. - - - - - - - - - - - - - - - - - - - - - - - - - - - - - - - - - - - - - - - - - - </w:t>
      </w:r>
      <w:r w:rsidR="00D50C1F">
        <w:rPr>
          <w:rFonts w:ascii="Arial" w:eastAsia="Calibri" w:hAnsi="Arial" w:cs="Arial"/>
          <w:sz w:val="24"/>
          <w:szCs w:val="24"/>
          <w:lang w:val="es-ES"/>
        </w:rPr>
        <w:t xml:space="preserve">- - </w:t>
      </w:r>
      <w:r w:rsidR="0009045F">
        <w:rPr>
          <w:rFonts w:ascii="Arial" w:eastAsia="Calibri" w:hAnsi="Arial" w:cs="Arial"/>
          <w:sz w:val="24"/>
          <w:szCs w:val="24"/>
          <w:lang w:val="es-ES"/>
        </w:rPr>
        <w:t xml:space="preserve">- </w:t>
      </w:r>
      <w:r w:rsidR="00E45DBD"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00E45DBD"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00E45DBD"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00E45DBD"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sidR="00D50C1F">
        <w:rPr>
          <w:rFonts w:ascii="Arial" w:hAnsi="Arial" w:cs="Arial"/>
          <w:sz w:val="24"/>
          <w:szCs w:val="24"/>
          <w:lang w:val="es-ES_tradnl"/>
        </w:rPr>
        <w:t xml:space="preserve"> - - - - - - - - - - - - </w:t>
      </w:r>
      <w:r w:rsidR="00E45DBD" w:rsidRPr="00CB6809">
        <w:rPr>
          <w:rFonts w:ascii="Arial" w:hAnsi="Arial" w:cs="Arial"/>
          <w:sz w:val="24"/>
          <w:szCs w:val="24"/>
          <w:lang w:val="es-ES_tradnl"/>
        </w:rPr>
        <w:t xml:space="preserve">- - - </w:t>
      </w:r>
      <w:r w:rsidR="008267BF">
        <w:rPr>
          <w:rFonts w:ascii="Arial" w:hAnsi="Arial" w:cs="Arial"/>
          <w:sz w:val="24"/>
          <w:szCs w:val="24"/>
          <w:lang w:val="es-ES_tradnl"/>
        </w:rPr>
        <w:t xml:space="preserve">- - - - - - - - - - </w:t>
      </w:r>
      <w:r w:rsidR="00D50C1F">
        <w:rPr>
          <w:rFonts w:ascii="Arial" w:eastAsia="Calibri" w:hAnsi="Arial" w:cs="Arial"/>
          <w:sz w:val="24"/>
          <w:szCs w:val="24"/>
          <w:lang w:val="es-ES"/>
        </w:rPr>
        <w:t xml:space="preserve">- - - </w:t>
      </w:r>
      <w:r w:rsidR="00E45DBD"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00E45DBD"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00E45DBD"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00E45DBD" w:rsidRPr="00CB6809">
        <w:rPr>
          <w:rFonts w:ascii="Arial" w:hAnsi="Arial" w:cs="Arial"/>
          <w:sz w:val="24"/>
          <w:szCs w:val="24"/>
          <w:lang w:val="es-ES_tradnl"/>
        </w:rPr>
        <w:t>fracción V</w:t>
      </w:r>
      <w:r w:rsidR="00A506C6">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 - - - - - - - - - -</w:t>
      </w:r>
      <w:r w:rsidR="00112069">
        <w:rPr>
          <w:rFonts w:ascii="Arial" w:eastAsia="Calibri" w:hAnsi="Arial" w:cs="Arial"/>
          <w:sz w:val="24"/>
          <w:szCs w:val="24"/>
          <w:lang w:val="es-ES_tradnl"/>
        </w:rPr>
        <w:lastRenderedPageBreak/>
        <w:t xml:space="preserve">- - - Por otra parte, conviene reparar en lo señalado por la tesis jurisprudencial </w:t>
      </w:r>
      <w:r w:rsidR="00112069" w:rsidRPr="00930DB1">
        <w:rPr>
          <w:rFonts w:ascii="Arial" w:eastAsia="Calibri" w:hAnsi="Arial" w:cs="Arial"/>
          <w:sz w:val="24"/>
          <w:szCs w:val="24"/>
          <w:lang w:val="es-ES_tradnl"/>
        </w:rPr>
        <w:t>PR.A.CS. J/41 A (11a.)</w:t>
      </w:r>
      <w:r w:rsidR="00112069">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sidR="00112069">
        <w:rPr>
          <w:rFonts w:ascii="Arial" w:eastAsia="Calibri" w:hAnsi="Arial" w:cs="Arial"/>
          <w:sz w:val="24"/>
          <w:szCs w:val="24"/>
          <w:lang w:val="es-ES_tradnl"/>
        </w:rPr>
        <w:t>r</w:t>
      </w:r>
      <w:r w:rsidR="00112069"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 - - - - - - - - - - - - - - - - - - - - - - - - - - - - - - - - - - - - - - - - - - - - - - - - -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3C12CAA7" w14:textId="723E0835" w:rsidR="00B26D6A" w:rsidRPr="00173C91" w:rsidRDefault="0010798F" w:rsidP="00173C91">
      <w:pPr>
        <w:tabs>
          <w:tab w:val="left" w:pos="8172"/>
        </w:tabs>
        <w:spacing w:before="100" w:beforeAutospacing="1" w:after="100" w:afterAutospacing="1" w:line="360" w:lineRule="auto"/>
        <w:jc w:val="both"/>
        <w:rPr>
          <w:rFonts w:ascii="Arial" w:hAnsi="Arial" w:cs="Arial"/>
          <w:iCs/>
          <w:sz w:val="24"/>
          <w:szCs w:val="24"/>
        </w:rPr>
      </w:pPr>
      <w:r w:rsidRPr="00EE3B61">
        <w:rPr>
          <w:rFonts w:ascii="Arial" w:eastAsia="Calibri" w:hAnsi="Arial" w:cs="Arial"/>
          <w:sz w:val="24"/>
          <w:szCs w:val="24"/>
          <w:lang w:val="es-ES_tradnl"/>
        </w:rPr>
        <w:t xml:space="preserve">- - - </w:t>
      </w:r>
      <w:r w:rsidR="00112069" w:rsidRPr="00EE3B61">
        <w:rPr>
          <w:rFonts w:ascii="Arial" w:eastAsia="Calibri" w:hAnsi="Arial" w:cs="Arial"/>
          <w:sz w:val="24"/>
          <w:szCs w:val="24"/>
          <w:lang w:val="es-ES_tradnl"/>
        </w:rPr>
        <w:t>Es por ello</w:t>
      </w:r>
      <w:r w:rsidR="005A34BA" w:rsidRPr="00EE3B61">
        <w:rPr>
          <w:rFonts w:ascii="Arial" w:eastAsia="Calibri" w:hAnsi="Arial" w:cs="Arial"/>
          <w:sz w:val="24"/>
          <w:szCs w:val="24"/>
          <w:lang w:val="es-ES_tradnl"/>
        </w:rPr>
        <w:t xml:space="preserve"> </w:t>
      </w:r>
      <w:r w:rsidR="00112069" w:rsidRPr="00EE3B61">
        <w:rPr>
          <w:rFonts w:ascii="Arial" w:eastAsia="Calibri" w:hAnsi="Arial" w:cs="Arial"/>
          <w:sz w:val="24"/>
          <w:szCs w:val="24"/>
          <w:lang w:val="es-ES_tradnl"/>
        </w:rPr>
        <w:t xml:space="preserve">que </w:t>
      </w:r>
      <w:r w:rsidR="00FE795A" w:rsidRPr="00EE3B61">
        <w:rPr>
          <w:rFonts w:ascii="Arial" w:eastAsia="Calibri" w:hAnsi="Arial" w:cs="Arial"/>
          <w:sz w:val="24"/>
          <w:szCs w:val="24"/>
          <w:lang w:val="es-ES_tradnl"/>
        </w:rPr>
        <w:t>el sobreseimiento</w:t>
      </w:r>
      <w:r w:rsidR="005A34BA" w:rsidRPr="00EE3B61">
        <w:rPr>
          <w:rFonts w:ascii="Arial" w:eastAsia="Calibri" w:hAnsi="Arial" w:cs="Arial"/>
          <w:sz w:val="24"/>
          <w:szCs w:val="24"/>
          <w:lang w:val="es-ES_tradnl"/>
        </w:rPr>
        <w:t>, que en el caso concreto surte</w:t>
      </w:r>
      <w:r w:rsidR="00D66C92" w:rsidRPr="00EE3B61">
        <w:rPr>
          <w:rFonts w:ascii="Arial" w:eastAsia="Calibri" w:hAnsi="Arial" w:cs="Arial"/>
          <w:sz w:val="24"/>
          <w:szCs w:val="24"/>
          <w:lang w:val="es-ES_tradnl"/>
        </w:rPr>
        <w:t xml:space="preserve"> y persigue</w:t>
      </w:r>
      <w:r w:rsidR="005A34BA" w:rsidRPr="00EE3B61">
        <w:rPr>
          <w:rFonts w:ascii="Arial" w:eastAsia="Calibri" w:hAnsi="Arial" w:cs="Arial"/>
          <w:sz w:val="24"/>
          <w:szCs w:val="24"/>
          <w:lang w:val="es-ES_tradnl"/>
        </w:rPr>
        <w:t xml:space="preserve"> los mismos efectos que el de la caducidad aducida en el criterio anterior, </w:t>
      </w:r>
      <w:r w:rsidR="00112069" w:rsidRPr="00EE3B61">
        <w:rPr>
          <w:rFonts w:ascii="Arial" w:eastAsia="Calibri" w:hAnsi="Arial" w:cs="Arial"/>
          <w:sz w:val="24"/>
          <w:szCs w:val="24"/>
          <w:lang w:val="es-ES_tradnl"/>
        </w:rPr>
        <w:t>tiene por objeto poner fin a la indefinición de los juicios por inactividad procesal</w:t>
      </w:r>
      <w:r w:rsidR="00702E11">
        <w:rPr>
          <w:rFonts w:ascii="Arial" w:eastAsia="Calibri" w:hAnsi="Arial" w:cs="Arial"/>
          <w:sz w:val="24"/>
          <w:szCs w:val="24"/>
          <w:lang w:val="es-ES_tradnl"/>
        </w:rPr>
        <w:t>,</w:t>
      </w:r>
      <w:r w:rsidR="00112069" w:rsidRPr="00EE3B61">
        <w:rPr>
          <w:rFonts w:ascii="Arial" w:eastAsia="Calibri" w:hAnsi="Arial" w:cs="Arial"/>
          <w:sz w:val="24"/>
          <w:szCs w:val="24"/>
          <w:lang w:val="es-ES_tradnl"/>
        </w:rPr>
        <w:t xml:space="preserve"> para con ello</w:t>
      </w:r>
      <w:r w:rsidR="00112069" w:rsidRPr="0010798F">
        <w:rPr>
          <w:rFonts w:ascii="Arial" w:eastAsia="Calibri" w:hAnsi="Arial" w:cs="Arial"/>
          <w:sz w:val="24"/>
          <w:szCs w:val="24"/>
          <w:lang w:val="es-ES_tradnl"/>
        </w:rPr>
        <w:t xml:space="preserve"> 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r w:rsidR="001C4456">
        <w:rPr>
          <w:rFonts w:ascii="Arial" w:eastAsia="Calibri" w:hAnsi="Arial" w:cs="Arial"/>
          <w:sz w:val="24"/>
          <w:szCs w:val="24"/>
          <w:lang w:val="es-ES_tradnl"/>
        </w:rPr>
        <w:t xml:space="preserve">- - - - - - - - - - - - </w:t>
      </w:r>
      <w:r w:rsidR="00C91F09">
        <w:rPr>
          <w:rFonts w:ascii="Arial" w:eastAsia="Calibri" w:hAnsi="Arial" w:cs="Arial"/>
          <w:sz w:val="24"/>
          <w:szCs w:val="24"/>
          <w:lang w:val="es-ES_tradnl"/>
        </w:rPr>
        <w:t xml:space="preserve">- </w:t>
      </w:r>
      <w:r>
        <w:rPr>
          <w:rFonts w:ascii="Arial" w:eastAsia="Calibri" w:hAnsi="Arial" w:cs="Arial"/>
          <w:sz w:val="24"/>
          <w:szCs w:val="24"/>
          <w:lang w:val="es-ES_tradnl"/>
        </w:rPr>
        <w:t>- 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 - - - - - - - - - - - - - - - - - - - - - - - - - - - - - - - - - </w:t>
      </w:r>
      <w:r w:rsidR="00112069"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00112069"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 - - - - - - - - - - - - - - - - - - - - - </w:t>
      </w:r>
      <w:r w:rsidR="00D50C1F">
        <w:rPr>
          <w:rFonts w:ascii="Arial" w:eastAsia="Calibri" w:hAnsi="Arial" w:cs="Arial"/>
          <w:sz w:val="24"/>
          <w:szCs w:val="24"/>
          <w:lang w:val="es-ES_tradnl"/>
        </w:rPr>
        <w:t xml:space="preserve">- - - </w:t>
      </w:r>
      <w:r>
        <w:rPr>
          <w:rFonts w:ascii="Arial" w:eastAsia="Calibri" w:hAnsi="Arial" w:cs="Arial"/>
          <w:sz w:val="24"/>
          <w:szCs w:val="24"/>
          <w:lang w:val="es-ES_tradnl"/>
        </w:rPr>
        <w:t xml:space="preserve">- </w:t>
      </w:r>
      <w:r w:rsidR="00961D98">
        <w:rPr>
          <w:rFonts w:ascii="Arial" w:eastAsia="Calibri" w:hAnsi="Arial" w:cs="Arial"/>
          <w:sz w:val="24"/>
          <w:szCs w:val="24"/>
          <w:lang w:val="es-ES_tradnl"/>
        </w:rPr>
        <w:t xml:space="preserve">- - - - - - - - - - - - - - - - - - - - - - - - - </w:t>
      </w:r>
      <w:r w:rsidR="00E45DBD"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00E45DBD" w:rsidRPr="00D50C1F">
        <w:rPr>
          <w:rFonts w:ascii="Arial" w:eastAsia="Calibri" w:hAnsi="Arial" w:cs="Arial"/>
          <w:sz w:val="24"/>
          <w:szCs w:val="24"/>
          <w:lang w:val="es-ES_tradnl"/>
        </w:rPr>
        <w:t xml:space="preserve">Tribunal de Justicia Administrativa del Estado de Sonora, </w:t>
      </w:r>
      <w:r w:rsidR="00B26D6A" w:rsidRPr="00017183">
        <w:rPr>
          <w:rFonts w:ascii="Arial" w:eastAsia="Calibri" w:hAnsi="Arial" w:cs="Arial"/>
          <w:b/>
          <w:color w:val="000000"/>
          <w:sz w:val="24"/>
          <w:szCs w:val="24"/>
        </w:rPr>
        <w:t>DECRETA EL SOBRESEIMIENTO DEL PRESENTE JUICIO</w:t>
      </w:r>
      <w:r w:rsidR="00E45DBD"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 xml:space="preserve"> de la Ley de Justicia Administrativa para el </w:t>
      </w:r>
      <w:r w:rsidR="00E45DBD" w:rsidRPr="00B26D6A">
        <w:rPr>
          <w:rFonts w:ascii="Arial" w:eastAsia="Calibri" w:hAnsi="Arial" w:cs="Arial"/>
          <w:color w:val="000000"/>
          <w:sz w:val="24"/>
          <w:szCs w:val="24"/>
        </w:rPr>
        <w:t>Estado de Sonora</w:t>
      </w:r>
      <w:r w:rsidR="00B26D6A" w:rsidRPr="00173C91">
        <w:rPr>
          <w:rFonts w:ascii="Arial" w:hAnsi="Arial" w:cs="Arial"/>
          <w:iCs/>
          <w:sz w:val="24"/>
          <w:szCs w:val="24"/>
        </w:rPr>
        <w:t>;</w:t>
      </w:r>
      <w:r w:rsidR="00173C91">
        <w:rPr>
          <w:rFonts w:ascii="Arial" w:hAnsi="Arial" w:cs="Arial"/>
          <w:iCs/>
          <w:sz w:val="24"/>
          <w:szCs w:val="24"/>
        </w:rPr>
        <w:t xml:space="preserve"> </w:t>
      </w:r>
      <w:r w:rsidR="002A60E4">
        <w:rPr>
          <w:rFonts w:ascii="Arial" w:hAnsi="Arial" w:cs="Arial"/>
          <w:iCs/>
          <w:sz w:val="24"/>
          <w:szCs w:val="24"/>
        </w:rPr>
        <w:t xml:space="preserve">y por tratarse </w:t>
      </w:r>
      <w:r w:rsidR="00B26D6A" w:rsidRPr="00173C91">
        <w:rPr>
          <w:rFonts w:ascii="Arial" w:hAnsi="Arial" w:cs="Arial"/>
          <w:iCs/>
          <w:sz w:val="24"/>
          <w:szCs w:val="24"/>
        </w:rPr>
        <w:t xml:space="preserve">de </w:t>
      </w:r>
      <w:r w:rsidR="002A60E4">
        <w:rPr>
          <w:rFonts w:ascii="Arial" w:hAnsi="Arial" w:cs="Arial"/>
          <w:iCs/>
          <w:sz w:val="24"/>
          <w:szCs w:val="24"/>
        </w:rPr>
        <w:t xml:space="preserve">un </w:t>
      </w:r>
      <w:r w:rsidR="00B26D6A" w:rsidRPr="00173C91">
        <w:rPr>
          <w:rFonts w:ascii="Arial" w:hAnsi="Arial" w:cs="Arial"/>
          <w:iCs/>
          <w:sz w:val="24"/>
          <w:szCs w:val="24"/>
        </w:rPr>
        <w:t>estudio preferente,</w:t>
      </w:r>
      <w:r w:rsidR="00173C91">
        <w:rPr>
          <w:rFonts w:ascii="Arial" w:hAnsi="Arial" w:cs="Arial"/>
          <w:iCs/>
          <w:sz w:val="24"/>
          <w:szCs w:val="24"/>
        </w:rPr>
        <w:t xml:space="preserve"> pues</w:t>
      </w:r>
      <w:r w:rsidR="002A60E4">
        <w:rPr>
          <w:rFonts w:ascii="Arial" w:hAnsi="Arial" w:cs="Arial"/>
          <w:iCs/>
          <w:sz w:val="24"/>
          <w:szCs w:val="24"/>
        </w:rPr>
        <w:t xml:space="preserve"> </w:t>
      </w:r>
      <w:r w:rsidR="00173C91">
        <w:rPr>
          <w:rFonts w:ascii="Arial" w:hAnsi="Arial" w:cs="Arial"/>
          <w:iCs/>
          <w:sz w:val="24"/>
          <w:szCs w:val="24"/>
        </w:rPr>
        <w:t>omitirlo</w:t>
      </w:r>
      <w:r w:rsidR="00B26D6A" w:rsidRPr="00173C91">
        <w:rPr>
          <w:rFonts w:ascii="Arial" w:hAnsi="Arial" w:cs="Arial"/>
          <w:iCs/>
          <w:sz w:val="24"/>
          <w:szCs w:val="24"/>
        </w:rPr>
        <w:t>,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r w:rsidR="00173C91">
        <w:rPr>
          <w:rFonts w:ascii="Arial" w:hAnsi="Arial" w:cs="Arial"/>
          <w:iCs/>
          <w:sz w:val="24"/>
          <w:szCs w:val="24"/>
        </w:rPr>
        <w:t xml:space="preserve"> - - - - - - - - - - - - - - - - - - - - - - - - - - - - - - - - - - - - - - - - - - - - - - - - - - - </w:t>
      </w:r>
      <w:r w:rsidR="00B26D6A" w:rsidRPr="00173C91">
        <w:rPr>
          <w:rFonts w:ascii="Arial" w:hAnsi="Arial" w:cs="Arial"/>
          <w:iCs/>
          <w:sz w:val="24"/>
          <w:szCs w:val="24"/>
        </w:rPr>
        <w:t xml:space="preserve">Al respecto, </w:t>
      </w:r>
      <w:r w:rsidR="00B26D6A">
        <w:rPr>
          <w:rFonts w:ascii="Arial" w:hAnsi="Arial" w:cs="Arial"/>
          <w:iCs/>
          <w:sz w:val="24"/>
          <w:szCs w:val="24"/>
        </w:rPr>
        <w:t>resulta aplicable</w:t>
      </w:r>
      <w:r w:rsidR="00B26D6A" w:rsidRPr="00173C91">
        <w:rPr>
          <w:rFonts w:ascii="Arial" w:hAnsi="Arial" w:cs="Arial"/>
          <w:iCs/>
          <w:sz w:val="24"/>
          <w:szCs w:val="24"/>
        </w:rPr>
        <w:t xml:space="preserve"> </w:t>
      </w:r>
      <w:r w:rsidR="00B26D6A">
        <w:rPr>
          <w:rFonts w:ascii="Arial" w:hAnsi="Arial" w:cs="Arial"/>
          <w:iCs/>
          <w:sz w:val="24"/>
          <w:szCs w:val="24"/>
        </w:rPr>
        <w:t>el</w:t>
      </w:r>
      <w:r w:rsidR="00B26D6A" w:rsidRPr="00173C91">
        <w:rPr>
          <w:rFonts w:ascii="Arial" w:hAnsi="Arial" w:cs="Arial"/>
          <w:iCs/>
          <w:sz w:val="24"/>
          <w:szCs w:val="24"/>
        </w:rPr>
        <w:t xml:space="preserve"> siguiente criterio emitido por la Justicia Federal: </w:t>
      </w:r>
      <w:r w:rsidR="00173C91">
        <w:rPr>
          <w:rFonts w:ascii="Arial" w:hAnsi="Arial" w:cs="Arial"/>
          <w:iCs/>
          <w:sz w:val="24"/>
          <w:szCs w:val="24"/>
        </w:rPr>
        <w:t xml:space="preserve">- - - - - - - - - - - - - - - - - - - - - - - - - - - - - - - - - - - - - - - - - - - - - - - - - - - - </w:t>
      </w:r>
    </w:p>
    <w:p w14:paraId="218E4A45" w14:textId="619D43F7" w:rsidR="00B26D6A" w:rsidRDefault="00B26D6A" w:rsidP="00173C91">
      <w:pPr>
        <w:ind w:left="284" w:right="284"/>
        <w:contextualSpacing/>
        <w:jc w:val="both"/>
        <w:rPr>
          <w:rFonts w:ascii="Arial" w:hAnsi="Arial" w:cs="Arial"/>
          <w:iCs/>
        </w:rPr>
      </w:pPr>
      <w:r w:rsidRPr="00EA7A33">
        <w:rPr>
          <w:rFonts w:ascii="Arial" w:hAnsi="Arial" w:cs="Arial"/>
          <w:b/>
          <w:i/>
          <w:szCs w:val="20"/>
          <w:lang w:eastAsia="es-MX"/>
        </w:rPr>
        <w:t>SOBRESEIMIENTO EN EL JUICIO CONTENCIOSO ADMINISTRATIVO FEDERAL. SU NATURALEZA JURÍDICA.</w:t>
      </w:r>
      <w:r w:rsidRPr="00EA7A33">
        <w:rPr>
          <w:rFonts w:ascii="Arial" w:hAnsi="Arial" w:cs="Arial"/>
          <w:i/>
          <w:szCs w:val="20"/>
          <w:lang w:eastAsia="es-MX"/>
        </w:rPr>
        <w:t xml:space="preserve"> De conformidad con el artículo </w:t>
      </w:r>
      <w:hyperlink r:id="rId11" w:history="1">
        <w:r w:rsidRPr="00EA7A33">
          <w:rPr>
            <w:rFonts w:ascii="Arial" w:hAnsi="Arial" w:cs="Arial"/>
            <w:i/>
            <w:szCs w:val="20"/>
            <w:lang w:eastAsia="es-MX"/>
          </w:rPr>
          <w:t>9o., fracción VI, de la Ley Federal de Procedimiento Contencioso Administrativo</w:t>
        </w:r>
      </w:hyperlink>
      <w:r w:rsidRPr="00EA7A33">
        <w:rPr>
          <w:rFonts w:ascii="Arial" w:hAnsi="Arial" w:cs="Arial"/>
          <w:i/>
          <w:szCs w:val="20"/>
          <w:lang w:eastAsia="es-MX"/>
        </w:rPr>
        <w:t>,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w:t>
      </w:r>
      <w:hyperlink r:id="rId12" w:history="1">
        <w:r w:rsidRPr="00EA7A33">
          <w:rPr>
            <w:rFonts w:ascii="Arial" w:hAnsi="Arial" w:cs="Arial"/>
            <w:i/>
            <w:szCs w:val="20"/>
            <w:lang w:eastAsia="es-MX"/>
          </w:rPr>
          <w:t>8o. de la Ley Federal de Procedimiento Contencioso Administrativo</w:t>
        </w:r>
      </w:hyperlink>
      <w:r w:rsidRPr="00EA7A33">
        <w:rPr>
          <w:rFonts w:ascii="Arial" w:hAnsi="Arial" w:cs="Arial"/>
          <w:i/>
          <w:szCs w:val="20"/>
          <w:lang w:eastAsia="es-MX"/>
        </w:rPr>
        <w:t xml:space="preserve">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EA7A33">
        <w:rPr>
          <w:rFonts w:ascii="Arial" w:hAnsi="Arial" w:cs="Arial"/>
          <w:i/>
          <w:szCs w:val="20"/>
          <w:lang w:eastAsia="es-MX"/>
        </w:rPr>
        <w:t>supercedere</w:t>
      </w:r>
      <w:proofErr w:type="spellEnd"/>
      <w:r w:rsidRPr="00EA7A33">
        <w:rPr>
          <w:rFonts w:ascii="Arial" w:hAnsi="Arial" w:cs="Arial"/>
          <w:i/>
          <w:szCs w:val="20"/>
          <w:lang w:eastAsia="es-MX"/>
        </w:rPr>
        <w:t xml:space="preserv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w:t>
      </w:r>
      <w:r w:rsidRPr="00EA7A33">
        <w:rPr>
          <w:rFonts w:ascii="Arial" w:hAnsi="Arial" w:cs="Arial"/>
          <w:szCs w:val="20"/>
          <w:lang w:eastAsia="es-MX"/>
        </w:rPr>
        <w:t xml:space="preserve">[Décima Época. Registro: 2022131. </w:t>
      </w:r>
      <w:r w:rsidRPr="00173C91">
        <w:rPr>
          <w:rFonts w:ascii="Arial" w:hAnsi="Arial" w:cs="Arial"/>
          <w:bCs/>
          <w:szCs w:val="20"/>
          <w:u w:val="single"/>
          <w:lang w:eastAsia="es-MX"/>
        </w:rPr>
        <w:t>Tribunales Colegiados de Circuito</w:t>
      </w:r>
      <w:r w:rsidRPr="00B26D6A">
        <w:rPr>
          <w:rFonts w:ascii="Arial" w:hAnsi="Arial" w:cs="Arial"/>
          <w:bCs/>
          <w:szCs w:val="20"/>
          <w:lang w:eastAsia="es-MX"/>
        </w:rPr>
        <w:t xml:space="preserve">. </w:t>
      </w:r>
      <w:r w:rsidRPr="00173C91">
        <w:rPr>
          <w:rFonts w:ascii="Arial" w:hAnsi="Arial" w:cs="Arial"/>
          <w:bCs/>
          <w:szCs w:val="20"/>
          <w:u w:val="single"/>
          <w:lang w:eastAsia="es-MX"/>
        </w:rPr>
        <w:t>Tesis Aislada</w:t>
      </w:r>
      <w:r w:rsidRPr="00EA7A33">
        <w:rPr>
          <w:rFonts w:ascii="Arial" w:hAnsi="Arial" w:cs="Arial"/>
          <w:szCs w:val="20"/>
          <w:lang w:eastAsia="es-MX"/>
        </w:rPr>
        <w:t xml:space="preserve">. Gaceta del Semanario Judicial de la Federación. Libro 78, Tomo II, septiembre de 2020. Materia (s): Administrativa. Tesis: III.6o.A.30 A (10a.). Página 982.]. - - - - - - - - </w:t>
      </w:r>
      <w:r>
        <w:rPr>
          <w:rFonts w:ascii="Arial" w:hAnsi="Arial" w:cs="Arial"/>
          <w:szCs w:val="20"/>
          <w:lang w:eastAsia="es-MX"/>
        </w:rPr>
        <w:br/>
      </w:r>
    </w:p>
    <w:p w14:paraId="1865A172" w14:textId="292B72FD" w:rsidR="00B26D6A" w:rsidRPr="00173C91" w:rsidRDefault="00B26D6A" w:rsidP="00173C91">
      <w:pPr>
        <w:spacing w:line="360" w:lineRule="auto"/>
        <w:contextualSpacing/>
        <w:jc w:val="both"/>
        <w:rPr>
          <w:rFonts w:ascii="Arial" w:hAnsi="Arial" w:cs="Arial"/>
          <w:i/>
          <w:sz w:val="24"/>
          <w:szCs w:val="24"/>
          <w:lang w:eastAsia="es-MX"/>
        </w:rPr>
      </w:pPr>
      <w:r>
        <w:rPr>
          <w:rFonts w:ascii="Arial" w:hAnsi="Arial" w:cs="Arial"/>
          <w:iCs/>
          <w:sz w:val="24"/>
          <w:szCs w:val="24"/>
        </w:rPr>
        <w:t>- -</w:t>
      </w:r>
      <w:r w:rsidRPr="00173C91">
        <w:rPr>
          <w:rFonts w:ascii="Arial" w:hAnsi="Arial" w:cs="Arial"/>
          <w:iCs/>
          <w:sz w:val="24"/>
          <w:szCs w:val="24"/>
        </w:rPr>
        <w:t xml:space="preserve"> </w:t>
      </w:r>
      <w:r>
        <w:rPr>
          <w:rFonts w:ascii="Arial" w:hAnsi="Arial" w:cs="Arial"/>
          <w:iCs/>
          <w:sz w:val="24"/>
          <w:szCs w:val="24"/>
        </w:rPr>
        <w:t xml:space="preserve">- </w:t>
      </w:r>
      <w:r w:rsidRPr="00173C91">
        <w:rPr>
          <w:rFonts w:ascii="Arial" w:hAnsi="Arial" w:cs="Arial"/>
          <w:iCs/>
          <w:sz w:val="24"/>
          <w:szCs w:val="24"/>
        </w:rPr>
        <w:t xml:space="preserve">Una vez que cause estado la presente resolución, háganse las anotaciones respectivas en los Libros de Gobierno de este Tribunal y archívese como asunto total y definitivamente concluido. - - - - - - - - - - - - - - - - - - - - - - - - - - - - - - - - - - </w:t>
      </w:r>
    </w:p>
    <w:p w14:paraId="3D4F21D2" w14:textId="157609BC" w:rsidR="00D50C1F" w:rsidRDefault="00E45DBD" w:rsidP="003A62D8">
      <w:pPr>
        <w:tabs>
          <w:tab w:val="left" w:pos="8172"/>
        </w:tabs>
        <w:spacing w:before="100" w:beforeAutospacing="1" w:after="100" w:afterAutospacing="1" w:line="360" w:lineRule="auto"/>
        <w:contextualSpacing/>
        <w:jc w:val="both"/>
        <w:rPr>
          <w:rFonts w:ascii="Arial" w:eastAsia="Times New Roman" w:hAnsi="Arial" w:cs="Arial"/>
          <w:b/>
          <w:bCs/>
          <w:sz w:val="24"/>
          <w:szCs w:val="24"/>
          <w:lang w:val="es-ES" w:eastAsia="es-ES"/>
        </w:rPr>
      </w:pPr>
      <w:r w:rsidRPr="00B26D6A">
        <w:rPr>
          <w:rFonts w:ascii="Arial" w:eastAsia="Calibri" w:hAnsi="Arial" w:cs="Arial"/>
          <w:color w:val="000000"/>
          <w:sz w:val="24"/>
          <w:szCs w:val="24"/>
        </w:rPr>
        <w:t xml:space="preserve"> </w:t>
      </w:r>
      <w:r w:rsidR="00D50C1F" w:rsidRPr="00B26D6A">
        <w:rPr>
          <w:rFonts w:ascii="Arial" w:eastAsia="Calibri" w:hAnsi="Arial" w:cs="Arial"/>
          <w:color w:val="000000"/>
          <w:sz w:val="24"/>
          <w:szCs w:val="24"/>
        </w:rPr>
        <w:t xml:space="preserve">- - - </w:t>
      </w:r>
      <w:r w:rsidR="00D50C1F" w:rsidRPr="00B26D6A">
        <w:rPr>
          <w:rFonts w:ascii="Arial" w:hAnsi="Arial" w:cs="Arial"/>
          <w:b/>
          <w:sz w:val="24"/>
          <w:szCs w:val="24"/>
        </w:rPr>
        <w:t>NOTIFÍQUESE PERSONALMENTE</w:t>
      </w:r>
      <w:r w:rsidR="00D50C1F" w:rsidRPr="00B26D6A">
        <w:rPr>
          <w:rFonts w:ascii="Arial" w:hAnsi="Arial" w:cs="Arial"/>
          <w:sz w:val="24"/>
          <w:szCs w:val="24"/>
        </w:rPr>
        <w:t xml:space="preserve"> el presente acuerdo para todos los </w:t>
      </w:r>
      <w:r w:rsidR="00D50C1F" w:rsidRPr="00D50C1F">
        <w:rPr>
          <w:rFonts w:ascii="Arial" w:hAnsi="Arial" w:cs="Arial"/>
          <w:sz w:val="24"/>
          <w:szCs w:val="24"/>
        </w:rPr>
        <w:t xml:space="preserve">efectos legales, de conformidad al artículo 39 [fracción I, inciso </w:t>
      </w:r>
      <w:r w:rsidR="00A667E5">
        <w:rPr>
          <w:rFonts w:ascii="Arial" w:hAnsi="Arial" w:cs="Arial"/>
          <w:sz w:val="24"/>
          <w:szCs w:val="24"/>
        </w:rPr>
        <w:t>f)</w:t>
      </w:r>
      <w:r w:rsidR="00D50C1F" w:rsidRPr="00D50C1F">
        <w:rPr>
          <w:rFonts w:ascii="Arial" w:hAnsi="Arial" w:cs="Arial"/>
          <w:sz w:val="24"/>
          <w:szCs w:val="24"/>
        </w:rPr>
        <w:t>] de la Ley de Justicia Administrativa para el Estado de Sonora.</w:t>
      </w:r>
      <w:r w:rsidR="00D50C1F">
        <w:rPr>
          <w:rFonts w:ascii="Arial" w:hAnsi="Arial" w:cs="Arial"/>
          <w:sz w:val="24"/>
          <w:szCs w:val="24"/>
        </w:rPr>
        <w:t xml:space="preserve">- - - - - - - - - - - - - - - - - - </w:t>
      </w:r>
      <w:bookmarkEnd w:id="0"/>
      <w:r w:rsidR="0010798F">
        <w:rPr>
          <w:rFonts w:ascii="Arial" w:hAnsi="Arial" w:cs="Arial"/>
          <w:sz w:val="24"/>
          <w:szCs w:val="24"/>
        </w:rPr>
        <w:t>- - - - - - - -</w:t>
      </w:r>
      <w:r w:rsidR="00961D98">
        <w:rPr>
          <w:rFonts w:ascii="Arial" w:hAnsi="Arial" w:cs="Arial"/>
          <w:sz w:val="24"/>
          <w:szCs w:val="24"/>
        </w:rPr>
        <w:t xml:space="preserve"> </w:t>
      </w:r>
      <w:r w:rsidR="00D50C1F" w:rsidRPr="00D50C1F">
        <w:rPr>
          <w:rFonts w:ascii="Arial" w:eastAsia="Times New Roman" w:hAnsi="Arial" w:cs="Arial"/>
          <w:b/>
          <w:sz w:val="24"/>
          <w:szCs w:val="24"/>
          <w:lang w:val="es-ES" w:eastAsia="es-ES"/>
        </w:rPr>
        <w:t>ASÍ</w:t>
      </w:r>
      <w:r w:rsidR="00D50C1F"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00D50C1F" w:rsidRPr="00D50C1F">
        <w:rPr>
          <w:rFonts w:ascii="Arial" w:eastAsia="Times New Roman" w:hAnsi="Arial" w:cs="Arial"/>
          <w:sz w:val="24"/>
          <w:szCs w:val="24"/>
          <w:lang w:val="es-ES" w:eastAsia="es-ES"/>
        </w:rPr>
        <w:t>del Tribunal de Justicia Administrativa por unanimidad de votos de los Magistrados José Santiago Encinas Velarde</w:t>
      </w:r>
      <w:r w:rsidR="00D50C1F" w:rsidRPr="00D50C1F">
        <w:rPr>
          <w:rFonts w:ascii="Arial" w:hAnsi="Arial" w:cs="Arial"/>
          <w:sz w:val="24"/>
          <w:szCs w:val="24"/>
        </w:rPr>
        <w:t>, Renato Alberto</w:t>
      </w:r>
      <w:r w:rsidR="00D50C1F" w:rsidRPr="00D50C1F">
        <w:rPr>
          <w:rFonts w:ascii="Arial" w:hAnsi="Arial" w:cs="Arial"/>
          <w:b/>
          <w:sz w:val="24"/>
          <w:szCs w:val="24"/>
        </w:rPr>
        <w:t xml:space="preserve"> </w:t>
      </w:r>
      <w:r w:rsidR="00D50C1F"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00D50C1F" w:rsidRPr="00D50C1F">
        <w:rPr>
          <w:rFonts w:ascii="Arial" w:eastAsia="Times New Roman" w:hAnsi="Arial" w:cs="Arial"/>
          <w:sz w:val="24"/>
          <w:szCs w:val="24"/>
          <w:lang w:val="es-ES" w:eastAsia="es-ES"/>
        </w:rPr>
        <w:t xml:space="preserve">, </w:t>
      </w:r>
      <w:r w:rsidR="00D50C1F" w:rsidRPr="00D50C1F">
        <w:rPr>
          <w:rFonts w:ascii="Arial" w:hAnsi="Arial" w:cs="Arial"/>
          <w:sz w:val="24"/>
          <w:szCs w:val="24"/>
        </w:rPr>
        <w:t>Blanca Sobeida Viera Barajas y Guadalupe María Mendívil Corral</w:t>
      </w:r>
      <w:r w:rsidR="00D50C1F" w:rsidRPr="00D50C1F">
        <w:rPr>
          <w:rFonts w:ascii="Arial" w:eastAsia="Times New Roman" w:hAnsi="Arial" w:cs="Arial"/>
          <w:sz w:val="24"/>
          <w:szCs w:val="24"/>
          <w:lang w:val="es-ES" w:eastAsia="es-ES"/>
        </w:rPr>
        <w:t xml:space="preserve"> </w:t>
      </w:r>
      <w:r w:rsidR="00D50C1F" w:rsidRPr="0010798F">
        <w:rPr>
          <w:rFonts w:ascii="Arial" w:eastAsia="Times New Roman" w:hAnsi="Arial" w:cs="Arial"/>
          <w:sz w:val="24"/>
          <w:szCs w:val="24"/>
          <w:lang w:val="es-ES" w:eastAsia="es-ES"/>
        </w:rPr>
        <w:t>siendo ponente el segundo en orden de los nombrados, quienes</w:t>
      </w:r>
      <w:r w:rsidR="00D50C1F"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00D50C1F"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00D50C1F" w:rsidRPr="00D50C1F">
        <w:rPr>
          <w:rFonts w:ascii="Arial" w:eastAsia="Times New Roman" w:hAnsi="Arial" w:cs="Arial"/>
          <w:sz w:val="24"/>
          <w:szCs w:val="24"/>
          <w:lang w:val="es-ES" w:eastAsia="es-ES"/>
        </w:rPr>
        <w:t xml:space="preserve">que autoriza y da fe.- </w:t>
      </w:r>
      <w:r w:rsidR="00D50C1F"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AF3F66" w14:textId="77777777" w:rsidR="005225BA" w:rsidRDefault="005225BA"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Magistrado Presidente</w:t>
      </w:r>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92E2D14" w14:textId="77777777" w:rsidR="00384606" w:rsidRDefault="00384606"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8629FE3" w14:textId="77777777" w:rsidR="00E70A59" w:rsidRDefault="00E70A5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77777777" w:rsidR="00DD3A7B" w:rsidRPr="00962EF3"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77777777" w:rsidR="005225BA" w:rsidRPr="00962EF3"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2B9317C" w14:textId="77777777" w:rsidR="00D50C1F" w:rsidRPr="00962EF3" w:rsidRDefault="00D50C1F" w:rsidP="00CD216C">
      <w:pPr>
        <w:tabs>
          <w:tab w:val="left" w:pos="8172"/>
        </w:tabs>
        <w:spacing w:before="100" w:beforeAutospacing="1" w:after="0" w:line="360" w:lineRule="auto"/>
        <w:ind w:firstLine="1418"/>
        <w:jc w:val="center"/>
        <w:rPr>
          <w:rFonts w:ascii="Arial" w:eastAsia="Times New Roman" w:hAnsi="Arial" w:cs="Arial"/>
          <w:sz w:val="24"/>
          <w:szCs w:val="24"/>
          <w:lang w:val="es-ES_tradnl" w:eastAsia="es-ES"/>
        </w:rPr>
      </w:pPr>
    </w:p>
    <w:p w14:paraId="04301977" w14:textId="19FAC159" w:rsidR="00D50C1F" w:rsidRPr="00962EF3" w:rsidRDefault="00D50C1F" w:rsidP="003A62D8">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963987">
        <w:rPr>
          <w:rFonts w:ascii="Arial" w:eastAsia="Times New Roman" w:hAnsi="Arial" w:cs="Arial"/>
          <w:sz w:val="24"/>
          <w:szCs w:val="24"/>
          <w:lang w:val="es-ES_tradnl" w:eastAsia="es-ES"/>
        </w:rPr>
        <w:t xml:space="preserve">diecisiete </w:t>
      </w:r>
      <w:r w:rsidR="00384606">
        <w:rPr>
          <w:rFonts w:ascii="Arial" w:eastAsia="Times New Roman" w:hAnsi="Arial" w:cs="Arial"/>
          <w:sz w:val="24"/>
          <w:szCs w:val="24"/>
          <w:lang w:val="es-ES_tradnl" w:eastAsia="es-ES"/>
        </w:rPr>
        <w:t xml:space="preserve">de junio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444D8F65" w14:textId="77777777" w:rsidR="00D50C1F" w:rsidRDefault="00D50C1F" w:rsidP="003A62D8">
      <w:pPr>
        <w:tabs>
          <w:tab w:val="left" w:pos="8172"/>
        </w:tabs>
        <w:spacing w:before="100" w:beforeAutospacing="1" w:after="0" w:line="360" w:lineRule="auto"/>
        <w:rPr>
          <w:rFonts w:eastAsia="Times New Roman"/>
          <w:sz w:val="20"/>
          <w:szCs w:val="20"/>
          <w:lang w:val="es-ES_tradnl" w:eastAsia="es-ES"/>
        </w:rPr>
      </w:pPr>
      <w:proofErr w:type="spellStart"/>
      <w:r>
        <w:rPr>
          <w:rFonts w:eastAsia="Times New Roman"/>
          <w:sz w:val="20"/>
          <w:szCs w:val="20"/>
          <w:lang w:val="es-ES_tradnl" w:eastAsia="es-ES"/>
        </w:rPr>
        <w:t>RAGL</w:t>
      </w:r>
      <w:proofErr w:type="spellEnd"/>
      <w:r>
        <w:rPr>
          <w:rFonts w:eastAsia="Times New Roman"/>
          <w:sz w:val="20"/>
          <w:szCs w:val="20"/>
          <w:lang w:val="es-ES_tradnl" w:eastAsia="es-ES"/>
        </w:rPr>
        <w:t>/</w:t>
      </w:r>
      <w:proofErr w:type="spellStart"/>
      <w:r>
        <w:rPr>
          <w:rFonts w:eastAsia="Times New Roman"/>
          <w:sz w:val="20"/>
          <w:szCs w:val="20"/>
          <w:lang w:val="es-ES_tradnl" w:eastAsia="es-ES"/>
        </w:rPr>
        <w:t>Bytm</w:t>
      </w:r>
      <w:proofErr w:type="spellEnd"/>
      <w:r>
        <w:rPr>
          <w:rFonts w:eastAsia="Times New Roman"/>
          <w:sz w:val="20"/>
          <w:szCs w:val="20"/>
          <w:lang w:val="es-ES_tradnl" w:eastAsia="es-ES"/>
        </w:rPr>
        <w:t>*</w:t>
      </w:r>
    </w:p>
    <w:p w14:paraId="60D44178" w14:textId="43D842FB"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 xml:space="preserve">respecto del Juicio de Nulidad planteado en el Expediente </w:t>
      </w:r>
      <w:r w:rsidR="00384606">
        <w:rPr>
          <w:rFonts w:eastAsia="Batang"/>
          <w:kern w:val="20"/>
          <w:sz w:val="16"/>
          <w:lang w:val="es-ES_tradnl"/>
        </w:rPr>
        <w:t>3</w:t>
      </w:r>
      <w:r w:rsidR="00904D96">
        <w:rPr>
          <w:rFonts w:eastAsia="Batang"/>
          <w:kern w:val="20"/>
          <w:sz w:val="16"/>
          <w:lang w:val="es-ES_tradnl"/>
        </w:rPr>
        <w:t>21</w:t>
      </w:r>
      <w:r w:rsidRPr="00502BE6">
        <w:rPr>
          <w:rFonts w:eastAsia="Batang"/>
          <w:kern w:val="20"/>
          <w:sz w:val="16"/>
          <w:lang w:val="es-ES_tradnl"/>
        </w:rPr>
        <w:t>/20</w:t>
      </w:r>
      <w:r w:rsidR="0010551C">
        <w:rPr>
          <w:rFonts w:eastAsia="Batang"/>
          <w:kern w:val="20"/>
          <w:sz w:val="16"/>
          <w:lang w:val="es-ES_tradnl"/>
        </w:rPr>
        <w:t>23</w:t>
      </w:r>
      <w:r w:rsidRPr="00502BE6">
        <w:rPr>
          <w:rFonts w:eastAsia="Batang"/>
          <w:kern w:val="20"/>
          <w:sz w:val="16"/>
          <w:lang w:val="es-ES_tradnl"/>
        </w:rPr>
        <w:t xml:space="preserve">, el </w:t>
      </w:r>
      <w:r w:rsidR="00904D96">
        <w:rPr>
          <w:rFonts w:eastAsia="Batang"/>
          <w:kern w:val="20"/>
          <w:sz w:val="16"/>
          <w:lang w:val="es-ES_tradnl"/>
        </w:rPr>
        <w:t>doce de junio</w:t>
      </w:r>
      <w:r w:rsidR="007C3DE1">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7533F7">
      <w:headerReference w:type="even" r:id="rId13"/>
      <w:headerReference w:type="default" r:id="rId14"/>
      <w:footerReference w:type="even" r:id="rId15"/>
      <w:footerReference w:type="default" r:id="rId16"/>
      <w:headerReference w:type="first" r:id="rId17"/>
      <w:footerReference w:type="first" r:id="rId18"/>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4893E" w14:textId="77777777" w:rsidR="00842358" w:rsidRDefault="00842358" w:rsidP="00E45DBD">
      <w:pPr>
        <w:spacing w:after="0" w:line="240" w:lineRule="auto"/>
      </w:pPr>
      <w:r>
        <w:separator/>
      </w:r>
    </w:p>
  </w:endnote>
  <w:endnote w:type="continuationSeparator" w:id="0">
    <w:p w14:paraId="3F381165" w14:textId="77777777" w:rsidR="00842358" w:rsidRDefault="00842358"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5CE2" w14:textId="77777777" w:rsidR="00525B52" w:rsidRDefault="0052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60742"/>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D2413C" w:rsidRPr="00D2413C">
          <w:rPr>
            <w:noProof/>
            <w:lang w:val="es-ES"/>
          </w:rPr>
          <w:t>2</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A31F" w14:textId="77777777" w:rsidR="00525B52" w:rsidRDefault="0052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3A23" w14:textId="77777777" w:rsidR="00842358" w:rsidRDefault="00842358" w:rsidP="00E45DBD">
      <w:pPr>
        <w:spacing w:after="0" w:line="240" w:lineRule="auto"/>
      </w:pPr>
      <w:r>
        <w:separator/>
      </w:r>
    </w:p>
  </w:footnote>
  <w:footnote w:type="continuationSeparator" w:id="0">
    <w:p w14:paraId="53689438" w14:textId="77777777" w:rsidR="00842358" w:rsidRDefault="00842358" w:rsidP="00E45DBD">
      <w:pPr>
        <w:spacing w:after="0" w:line="240" w:lineRule="auto"/>
      </w:pPr>
      <w:r>
        <w:continuationSeparator/>
      </w:r>
    </w:p>
  </w:footnote>
  <w:footnote w:id="1">
    <w:p w14:paraId="19550DD1" w14:textId="77777777" w:rsidR="004D3298" w:rsidRPr="00CF6DA5" w:rsidRDefault="004D3298" w:rsidP="004D3298">
      <w:pPr>
        <w:pStyle w:val="FootnoteText"/>
        <w:jc w:val="both"/>
        <w:rPr>
          <w:rFonts w:ascii="Arial" w:hAnsi="Arial" w:cs="Arial"/>
        </w:rPr>
      </w:pPr>
      <w:r w:rsidRPr="00CF6DA5">
        <w:rPr>
          <w:rStyle w:val="FootnoteReference"/>
          <w:rFonts w:ascii="Arial" w:hAnsi="Arial" w:cs="Arial"/>
        </w:rPr>
        <w:footnoteRef/>
      </w:r>
      <w:r w:rsidRPr="00CF6DA5">
        <w:rPr>
          <w:rFonts w:ascii="Arial" w:hAnsi="Arial" w:cs="Arial"/>
        </w:rPr>
        <w:t xml:space="preserve"> Acepciones extraídas del Diccionario panhispánico del español jurídico. </w:t>
      </w:r>
    </w:p>
  </w:footnote>
  <w:footnote w:id="2">
    <w:p w14:paraId="6EFFBDCD" w14:textId="77777777" w:rsidR="004D3298" w:rsidRDefault="004D3298" w:rsidP="004D3298">
      <w:pPr>
        <w:pStyle w:val="FootnoteText"/>
      </w:pPr>
      <w:r w:rsidRPr="00CF6DA5">
        <w:rPr>
          <w:rStyle w:val="FootnoteReference"/>
          <w:rFonts w:ascii="Arial" w:hAnsi="Arial" w:cs="Arial"/>
        </w:rPr>
        <w:footnoteRef/>
      </w:r>
      <w:r w:rsidRPr="00CF6DA5">
        <w:rPr>
          <w:rFonts w:ascii="Arial" w:hAnsi="Arial" w:cs="Arial"/>
        </w:rPr>
        <w:t xml:space="preserve"> J. Couture, Eduardo. Fundamentos del Derecho Procesal Civil” Roque de Palma Editor, Buenos Aires.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D2C8" w14:textId="77777777" w:rsidR="00525B52" w:rsidRDefault="0052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43461CA7" w:rsidR="00EC6074" w:rsidRDefault="00525B52" w:rsidP="00161C4D">
    <w:pPr>
      <w:pStyle w:val="BodyText"/>
      <w:spacing w:line="14" w:lineRule="auto"/>
      <w:ind w:right="333"/>
      <w:rPr>
        <w:b/>
        <w:i/>
        <w:sz w:val="20"/>
      </w:rPr>
    </w:pPr>
    <w:sdt>
      <w:sdtPr>
        <w:rPr>
          <w:b/>
          <w:i/>
          <w:sz w:val="20"/>
        </w:rPr>
        <w:id w:val="-410314222"/>
        <w:docPartObj>
          <w:docPartGallery w:val="Watermarks"/>
          <w:docPartUnique/>
        </w:docPartObj>
      </w:sdtPr>
      <w:sdtContent>
        <w:r w:rsidRPr="00525B52">
          <w:rPr>
            <w:b/>
            <w:i/>
            <w:noProof/>
            <w:sz w:val="20"/>
          </w:rPr>
          <w:pict w14:anchorId="3BED1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312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5E7A35B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1EC3A03" w:rsidR="00EC6074" w:rsidRDefault="00D10E49" w:rsidP="00C55A72">
    <w:pPr>
      <w:pStyle w:val="Header"/>
      <w:tabs>
        <w:tab w:val="clear" w:pos="4419"/>
      </w:tabs>
      <w:rPr>
        <w:noProof/>
      </w:rPr>
    </w:pPr>
    <w:r w:rsidRPr="009C0D91">
      <w:rPr>
        <w:b/>
        <w:bCs/>
        <w:noProof/>
        <w:lang w:eastAsia="es-MX"/>
      </w:rPr>
      <w:drawing>
        <wp:anchor distT="0" distB="0" distL="114300" distR="114300" simplePos="0" relativeHeight="251661312" behindDoc="0" locked="0" layoutInCell="1" hidden="0" allowOverlap="1" wp14:anchorId="42DE409F" wp14:editId="6B6F6C00">
          <wp:simplePos x="0" y="0"/>
          <wp:positionH relativeFrom="margin">
            <wp:align>left</wp:align>
          </wp:positionH>
          <wp:positionV relativeFrom="paragraph">
            <wp:posOffset>7620</wp:posOffset>
          </wp:positionV>
          <wp:extent cx="2057400" cy="876300"/>
          <wp:effectExtent l="0" t="0" r="0" b="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1"/>
                  <a:srcRect b="9951"/>
                  <a:stretch>
                    <a:fillRect/>
                  </a:stretch>
                </pic:blipFill>
                <pic:spPr>
                  <a:xfrm>
                    <a:off x="0" y="0"/>
                    <a:ext cx="2057400" cy="876300"/>
                  </a:xfrm>
                  <a:prstGeom prst="rect">
                    <a:avLst/>
                  </a:prstGeom>
                  <a:ln/>
                </pic:spPr>
              </pic:pic>
            </a:graphicData>
          </a:graphic>
          <wp14:sizeRelV relativeFrom="margin">
            <wp14:pctHeight>0</wp14:pctHeight>
          </wp14:sizeRelV>
        </wp:anchor>
      </w:drawing>
    </w:r>
    <w:r w:rsidR="00291CFF">
      <w:rPr>
        <w:noProof/>
      </w:rPr>
      <w:t xml:space="preserve">    </w:t>
    </w:r>
    <w:r w:rsidR="005225BA">
      <w:rPr>
        <w:noProof/>
      </w:rPr>
      <w:t xml:space="preserve">  </w:t>
    </w:r>
    <w:r w:rsidR="00291CFF">
      <w:rPr>
        <w:noProof/>
      </w:rPr>
      <w:t xml:space="preserve">     </w:t>
    </w:r>
    <w:r w:rsidR="00C55A72">
      <w:rPr>
        <w:noProof/>
      </w:rPr>
      <w:tab/>
    </w:r>
  </w:p>
  <w:p w14:paraId="571F169B" w14:textId="72D2FF1B" w:rsidR="00EC6074" w:rsidRDefault="00EC6074" w:rsidP="00161C4D">
    <w:pPr>
      <w:pStyle w:val="Header"/>
      <w:tabs>
        <w:tab w:val="clear" w:pos="8838"/>
        <w:tab w:val="right" w:pos="8505"/>
      </w:tabs>
    </w:pP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3503A11F"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00B1244A">
      <w:rPr>
        <w:b/>
        <w:sz w:val="22"/>
        <w:szCs w:val="22"/>
      </w:rPr>
      <w:t>: 3</w:t>
    </w:r>
    <w:r w:rsidR="00B36261">
      <w:rPr>
        <w:b/>
        <w:sz w:val="22"/>
        <w:szCs w:val="22"/>
      </w:rPr>
      <w:t>21</w:t>
    </w:r>
    <w:r w:rsidR="00C61788">
      <w:rPr>
        <w:b/>
        <w:sz w:val="22"/>
        <w:szCs w:val="22"/>
      </w:rPr>
      <w:t>/2023</w:t>
    </w:r>
  </w:p>
  <w:p w14:paraId="0BA76025" w14:textId="77777777" w:rsidR="00161C4D" w:rsidRDefault="00161C4D" w:rsidP="0099282E">
    <w:pPr>
      <w:pStyle w:val="Header"/>
      <w:tabs>
        <w:tab w:val="clear" w:pos="8838"/>
        <w:tab w:val="right" w:pos="8364"/>
        <w:tab w:val="right" w:pos="8505"/>
      </w:tabs>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A013" w14:textId="77777777" w:rsidR="00525B52" w:rsidRDefault="0052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078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85AC4"/>
    <w:rsid w:val="0009045F"/>
    <w:rsid w:val="000D0A49"/>
    <w:rsid w:val="000F085E"/>
    <w:rsid w:val="000F5F61"/>
    <w:rsid w:val="001045D9"/>
    <w:rsid w:val="0010551C"/>
    <w:rsid w:val="001068F0"/>
    <w:rsid w:val="0010798F"/>
    <w:rsid w:val="00112069"/>
    <w:rsid w:val="00114A52"/>
    <w:rsid w:val="00116DC9"/>
    <w:rsid w:val="0011757F"/>
    <w:rsid w:val="00130249"/>
    <w:rsid w:val="00161C4D"/>
    <w:rsid w:val="00162507"/>
    <w:rsid w:val="00165196"/>
    <w:rsid w:val="00170E19"/>
    <w:rsid w:val="00171531"/>
    <w:rsid w:val="00173C91"/>
    <w:rsid w:val="001B2142"/>
    <w:rsid w:val="001C4456"/>
    <w:rsid w:val="001E7FC8"/>
    <w:rsid w:val="001F4F5E"/>
    <w:rsid w:val="00207739"/>
    <w:rsid w:val="00213A3E"/>
    <w:rsid w:val="00215DB4"/>
    <w:rsid w:val="00230FAC"/>
    <w:rsid w:val="002434D1"/>
    <w:rsid w:val="00245338"/>
    <w:rsid w:val="002454E7"/>
    <w:rsid w:val="00250A78"/>
    <w:rsid w:val="00251928"/>
    <w:rsid w:val="00254B56"/>
    <w:rsid w:val="002654FC"/>
    <w:rsid w:val="00291CFF"/>
    <w:rsid w:val="002A60E4"/>
    <w:rsid w:val="002B1CBE"/>
    <w:rsid w:val="002C213D"/>
    <w:rsid w:val="002E33F2"/>
    <w:rsid w:val="002F0F16"/>
    <w:rsid w:val="00300BB5"/>
    <w:rsid w:val="00336863"/>
    <w:rsid w:val="00350338"/>
    <w:rsid w:val="00351A7D"/>
    <w:rsid w:val="003542CF"/>
    <w:rsid w:val="00363177"/>
    <w:rsid w:val="003641B9"/>
    <w:rsid w:val="003655AA"/>
    <w:rsid w:val="00375A94"/>
    <w:rsid w:val="00384606"/>
    <w:rsid w:val="00393B60"/>
    <w:rsid w:val="0039753E"/>
    <w:rsid w:val="003A62D8"/>
    <w:rsid w:val="003C353D"/>
    <w:rsid w:val="003C4952"/>
    <w:rsid w:val="003D20C1"/>
    <w:rsid w:val="003E48CF"/>
    <w:rsid w:val="003F76CF"/>
    <w:rsid w:val="00433320"/>
    <w:rsid w:val="00441027"/>
    <w:rsid w:val="004434C8"/>
    <w:rsid w:val="00455AED"/>
    <w:rsid w:val="004609CB"/>
    <w:rsid w:val="00494DFF"/>
    <w:rsid w:val="004A2E48"/>
    <w:rsid w:val="004C562E"/>
    <w:rsid w:val="004D228A"/>
    <w:rsid w:val="004D3298"/>
    <w:rsid w:val="004E3976"/>
    <w:rsid w:val="0050759A"/>
    <w:rsid w:val="00512C49"/>
    <w:rsid w:val="005225BA"/>
    <w:rsid w:val="00525B52"/>
    <w:rsid w:val="00535612"/>
    <w:rsid w:val="00556A7F"/>
    <w:rsid w:val="0056371A"/>
    <w:rsid w:val="00572709"/>
    <w:rsid w:val="005741C4"/>
    <w:rsid w:val="00580F58"/>
    <w:rsid w:val="00587E69"/>
    <w:rsid w:val="005917DB"/>
    <w:rsid w:val="005A34BA"/>
    <w:rsid w:val="005B007A"/>
    <w:rsid w:val="005B6F17"/>
    <w:rsid w:val="005E44B0"/>
    <w:rsid w:val="00610639"/>
    <w:rsid w:val="00615EE3"/>
    <w:rsid w:val="00631625"/>
    <w:rsid w:val="00643E79"/>
    <w:rsid w:val="00650EDB"/>
    <w:rsid w:val="00667852"/>
    <w:rsid w:val="00682B73"/>
    <w:rsid w:val="006855A3"/>
    <w:rsid w:val="00687F08"/>
    <w:rsid w:val="00690663"/>
    <w:rsid w:val="006952CF"/>
    <w:rsid w:val="006B3203"/>
    <w:rsid w:val="006B4698"/>
    <w:rsid w:val="006D231C"/>
    <w:rsid w:val="006D2FAA"/>
    <w:rsid w:val="00702E11"/>
    <w:rsid w:val="00721C1E"/>
    <w:rsid w:val="00725373"/>
    <w:rsid w:val="00740DEE"/>
    <w:rsid w:val="00746AD6"/>
    <w:rsid w:val="007533F7"/>
    <w:rsid w:val="00754648"/>
    <w:rsid w:val="00770773"/>
    <w:rsid w:val="0077682B"/>
    <w:rsid w:val="007769A5"/>
    <w:rsid w:val="00792CD3"/>
    <w:rsid w:val="007947B0"/>
    <w:rsid w:val="00795C9A"/>
    <w:rsid w:val="007B13BE"/>
    <w:rsid w:val="007C3C2D"/>
    <w:rsid w:val="007C3DE1"/>
    <w:rsid w:val="007C5407"/>
    <w:rsid w:val="007D2BD8"/>
    <w:rsid w:val="007E096D"/>
    <w:rsid w:val="007E2D42"/>
    <w:rsid w:val="007E5DEF"/>
    <w:rsid w:val="007F42D1"/>
    <w:rsid w:val="00800502"/>
    <w:rsid w:val="00820A81"/>
    <w:rsid w:val="008267BF"/>
    <w:rsid w:val="008339CE"/>
    <w:rsid w:val="00840B1F"/>
    <w:rsid w:val="00842358"/>
    <w:rsid w:val="0084605B"/>
    <w:rsid w:val="0086331E"/>
    <w:rsid w:val="008634FB"/>
    <w:rsid w:val="008654A4"/>
    <w:rsid w:val="00873559"/>
    <w:rsid w:val="00876E8D"/>
    <w:rsid w:val="00897584"/>
    <w:rsid w:val="008B19B2"/>
    <w:rsid w:val="008D1023"/>
    <w:rsid w:val="008E3A3A"/>
    <w:rsid w:val="00903590"/>
    <w:rsid w:val="00904D96"/>
    <w:rsid w:val="009154C6"/>
    <w:rsid w:val="00920F16"/>
    <w:rsid w:val="00923138"/>
    <w:rsid w:val="00930DB1"/>
    <w:rsid w:val="00936A2C"/>
    <w:rsid w:val="009478FA"/>
    <w:rsid w:val="009506DB"/>
    <w:rsid w:val="00951764"/>
    <w:rsid w:val="00952D0A"/>
    <w:rsid w:val="00955A9C"/>
    <w:rsid w:val="00957AAD"/>
    <w:rsid w:val="009615F0"/>
    <w:rsid w:val="00961D98"/>
    <w:rsid w:val="00962EF3"/>
    <w:rsid w:val="00963987"/>
    <w:rsid w:val="0096586D"/>
    <w:rsid w:val="00977679"/>
    <w:rsid w:val="00991831"/>
    <w:rsid w:val="0099282E"/>
    <w:rsid w:val="009940C4"/>
    <w:rsid w:val="009958B3"/>
    <w:rsid w:val="009975CB"/>
    <w:rsid w:val="009A0057"/>
    <w:rsid w:val="009B6ABB"/>
    <w:rsid w:val="009C121F"/>
    <w:rsid w:val="009C1815"/>
    <w:rsid w:val="009C4F0E"/>
    <w:rsid w:val="009C6A9E"/>
    <w:rsid w:val="009D42E8"/>
    <w:rsid w:val="009F0243"/>
    <w:rsid w:val="009F65F7"/>
    <w:rsid w:val="00A00A58"/>
    <w:rsid w:val="00A04A41"/>
    <w:rsid w:val="00A329ED"/>
    <w:rsid w:val="00A334C5"/>
    <w:rsid w:val="00A47F5B"/>
    <w:rsid w:val="00A506C6"/>
    <w:rsid w:val="00A578F2"/>
    <w:rsid w:val="00A667E5"/>
    <w:rsid w:val="00A7216A"/>
    <w:rsid w:val="00A82482"/>
    <w:rsid w:val="00A964D2"/>
    <w:rsid w:val="00AC2081"/>
    <w:rsid w:val="00AD5DCE"/>
    <w:rsid w:val="00AE22B6"/>
    <w:rsid w:val="00B1244A"/>
    <w:rsid w:val="00B26D6A"/>
    <w:rsid w:val="00B27867"/>
    <w:rsid w:val="00B31A0C"/>
    <w:rsid w:val="00B36261"/>
    <w:rsid w:val="00B42D60"/>
    <w:rsid w:val="00B53ECC"/>
    <w:rsid w:val="00B54AAC"/>
    <w:rsid w:val="00B5565F"/>
    <w:rsid w:val="00B643EE"/>
    <w:rsid w:val="00B73A09"/>
    <w:rsid w:val="00B810F1"/>
    <w:rsid w:val="00B81A54"/>
    <w:rsid w:val="00B869C9"/>
    <w:rsid w:val="00BB4F73"/>
    <w:rsid w:val="00BD30D0"/>
    <w:rsid w:val="00BD7CB8"/>
    <w:rsid w:val="00BE000C"/>
    <w:rsid w:val="00BF47D8"/>
    <w:rsid w:val="00C07769"/>
    <w:rsid w:val="00C32469"/>
    <w:rsid w:val="00C5344A"/>
    <w:rsid w:val="00C55A72"/>
    <w:rsid w:val="00C56260"/>
    <w:rsid w:val="00C61788"/>
    <w:rsid w:val="00C908AD"/>
    <w:rsid w:val="00C91F09"/>
    <w:rsid w:val="00C966B0"/>
    <w:rsid w:val="00CA239D"/>
    <w:rsid w:val="00CB44F3"/>
    <w:rsid w:val="00CB6809"/>
    <w:rsid w:val="00CC0CE6"/>
    <w:rsid w:val="00CC4678"/>
    <w:rsid w:val="00CD216C"/>
    <w:rsid w:val="00CF3D1D"/>
    <w:rsid w:val="00CF5480"/>
    <w:rsid w:val="00D10E49"/>
    <w:rsid w:val="00D11C11"/>
    <w:rsid w:val="00D11F74"/>
    <w:rsid w:val="00D2257B"/>
    <w:rsid w:val="00D2413C"/>
    <w:rsid w:val="00D25057"/>
    <w:rsid w:val="00D25B91"/>
    <w:rsid w:val="00D36729"/>
    <w:rsid w:val="00D37BD7"/>
    <w:rsid w:val="00D50C1F"/>
    <w:rsid w:val="00D61072"/>
    <w:rsid w:val="00D63B00"/>
    <w:rsid w:val="00D66C92"/>
    <w:rsid w:val="00D715C3"/>
    <w:rsid w:val="00DC16CB"/>
    <w:rsid w:val="00DD3A7B"/>
    <w:rsid w:val="00DE0FF7"/>
    <w:rsid w:val="00DE1EEC"/>
    <w:rsid w:val="00DE4EC5"/>
    <w:rsid w:val="00DE6528"/>
    <w:rsid w:val="00DF30A7"/>
    <w:rsid w:val="00DF5FC7"/>
    <w:rsid w:val="00E06ACB"/>
    <w:rsid w:val="00E07F8A"/>
    <w:rsid w:val="00E1121F"/>
    <w:rsid w:val="00E27C15"/>
    <w:rsid w:val="00E31E50"/>
    <w:rsid w:val="00E42E8E"/>
    <w:rsid w:val="00E45DBD"/>
    <w:rsid w:val="00E70A59"/>
    <w:rsid w:val="00E82A2B"/>
    <w:rsid w:val="00EA20F7"/>
    <w:rsid w:val="00EA3B5F"/>
    <w:rsid w:val="00EA7911"/>
    <w:rsid w:val="00EC25D1"/>
    <w:rsid w:val="00EC56D2"/>
    <w:rsid w:val="00EC6074"/>
    <w:rsid w:val="00EE3B61"/>
    <w:rsid w:val="00EE7212"/>
    <w:rsid w:val="00EE7ABE"/>
    <w:rsid w:val="00EF5D42"/>
    <w:rsid w:val="00F046A8"/>
    <w:rsid w:val="00F054C2"/>
    <w:rsid w:val="00F11D29"/>
    <w:rsid w:val="00F149C9"/>
    <w:rsid w:val="00F33000"/>
    <w:rsid w:val="00F4367A"/>
    <w:rsid w:val="00F47893"/>
    <w:rsid w:val="00F570C2"/>
    <w:rsid w:val="00F64378"/>
    <w:rsid w:val="00F72D33"/>
    <w:rsid w:val="00F76829"/>
    <w:rsid w:val="00FA2190"/>
    <w:rsid w:val="00FA65B8"/>
    <w:rsid w:val="00FC7033"/>
    <w:rsid w:val="00FE0A0D"/>
    <w:rsid w:val="00FE25B7"/>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docId w15:val="{41EFFF6E-4627-4CD6-8913-BABC5F1A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3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298"/>
    <w:rPr>
      <w:sz w:val="20"/>
      <w:szCs w:val="20"/>
    </w:rPr>
  </w:style>
  <w:style w:type="character" w:styleId="FootnoteReference">
    <w:name w:val="footnote reference"/>
    <w:basedOn w:val="DefaultParagraphFont"/>
    <w:uiPriority w:val="99"/>
    <w:semiHidden/>
    <w:unhideWhenUsed/>
    <w:rsid w:val="004D3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agen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cionariojuridico.mx/definicion/tercer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cionariojuridico.mx/definicion/jurisdicc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5DBD-0FF4-4F54-A224-B0F49C25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3412</Words>
  <Characters>18766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THAILY</dc:creator>
  <cp:lastModifiedBy>Alejandro Arellano Arvizu</cp:lastModifiedBy>
  <cp:revision>4</cp:revision>
  <cp:lastPrinted>2024-06-17T17:39:00Z</cp:lastPrinted>
  <dcterms:created xsi:type="dcterms:W3CDTF">2024-06-17T17:41:00Z</dcterms:created>
  <dcterms:modified xsi:type="dcterms:W3CDTF">2024-07-02T18:20:00Z</dcterms:modified>
</cp:coreProperties>
</file>