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61AF" w14:textId="77777777" w:rsidR="00B26D6A" w:rsidRDefault="00B26D6A" w:rsidP="003A62D8">
      <w:pPr>
        <w:spacing w:after="200" w:line="360" w:lineRule="auto"/>
        <w:jc w:val="both"/>
        <w:rPr>
          <w:rFonts w:ascii="Arial" w:eastAsia="Calibri" w:hAnsi="Arial" w:cs="Arial"/>
          <w:sz w:val="24"/>
          <w:szCs w:val="24"/>
          <w:lang w:val="es-ES"/>
        </w:rPr>
      </w:pPr>
      <w:bookmarkStart w:id="0" w:name="_Hlk136252236"/>
    </w:p>
    <w:p w14:paraId="6DFD7E3A" w14:textId="30F592FF" w:rsidR="00E45DBD" w:rsidRPr="00CB6809" w:rsidRDefault="00CB6809" w:rsidP="003A62D8">
      <w:pPr>
        <w:spacing w:after="200" w:line="360" w:lineRule="auto"/>
        <w:jc w:val="both"/>
        <w:rPr>
          <w:rFonts w:ascii="Arial" w:eastAsia="Calibri" w:hAnsi="Arial" w:cs="Arial"/>
          <w:b/>
          <w:sz w:val="24"/>
          <w:szCs w:val="24"/>
          <w:lang w:val="es-ES"/>
        </w:rPr>
      </w:pPr>
      <w:r w:rsidRPr="00CB6809">
        <w:rPr>
          <w:rFonts w:ascii="Arial" w:eastAsia="Calibri" w:hAnsi="Arial" w:cs="Arial"/>
          <w:sz w:val="24"/>
          <w:szCs w:val="24"/>
          <w:lang w:val="es-ES"/>
        </w:rPr>
        <w:t>- - -</w:t>
      </w:r>
      <w:r w:rsidRPr="00CB6809">
        <w:rPr>
          <w:rFonts w:ascii="Arial" w:eastAsia="Calibri" w:hAnsi="Arial" w:cs="Arial"/>
          <w:b/>
          <w:sz w:val="24"/>
          <w:szCs w:val="24"/>
          <w:lang w:val="es-ES"/>
        </w:rPr>
        <w:t xml:space="preserve"> </w:t>
      </w:r>
      <w:r w:rsidR="00E45DBD" w:rsidRPr="00CB6809">
        <w:rPr>
          <w:rFonts w:ascii="Arial" w:eastAsia="Calibri" w:hAnsi="Arial" w:cs="Arial"/>
          <w:b/>
          <w:sz w:val="24"/>
          <w:szCs w:val="24"/>
          <w:lang w:val="es-ES"/>
        </w:rPr>
        <w:t>CUENTA</w:t>
      </w:r>
      <w:r w:rsidRPr="00CB6809">
        <w:rPr>
          <w:rFonts w:ascii="Arial" w:eastAsia="Calibri" w:hAnsi="Arial" w:cs="Arial"/>
          <w:b/>
          <w:sz w:val="24"/>
          <w:szCs w:val="24"/>
          <w:lang w:val="es-ES"/>
        </w:rPr>
        <w:t>.</w:t>
      </w:r>
      <w:r w:rsidR="00E45DBD" w:rsidRPr="00CB6809">
        <w:rPr>
          <w:rFonts w:ascii="Arial" w:eastAsia="Calibri" w:hAnsi="Arial" w:cs="Arial"/>
          <w:b/>
          <w:sz w:val="24"/>
          <w:szCs w:val="24"/>
          <w:lang w:val="es-ES"/>
        </w:rPr>
        <w:t xml:space="preserve">- En Hermosillo, Sonora, </w:t>
      </w:r>
      <w:r w:rsidR="00E45DBD" w:rsidRPr="00E06ACB">
        <w:rPr>
          <w:rFonts w:ascii="Arial" w:eastAsia="Calibri" w:hAnsi="Arial" w:cs="Arial"/>
          <w:b/>
          <w:sz w:val="24"/>
          <w:szCs w:val="24"/>
          <w:lang w:val="es-ES"/>
        </w:rPr>
        <w:t xml:space="preserve">a </w:t>
      </w:r>
      <w:r w:rsidR="00D36C4C">
        <w:rPr>
          <w:rFonts w:ascii="Arial" w:eastAsia="Calibri" w:hAnsi="Arial" w:cs="Arial"/>
          <w:b/>
          <w:sz w:val="24"/>
          <w:szCs w:val="24"/>
          <w:lang w:val="es-ES"/>
        </w:rPr>
        <w:t xml:space="preserve">veintiséis </w:t>
      </w:r>
      <w:r w:rsidR="00491E5D">
        <w:rPr>
          <w:rFonts w:ascii="Arial" w:eastAsia="Calibri" w:hAnsi="Arial" w:cs="Arial"/>
          <w:b/>
          <w:sz w:val="24"/>
          <w:szCs w:val="24"/>
          <w:lang w:val="es-ES"/>
        </w:rPr>
        <w:t xml:space="preserve">de junio </w:t>
      </w:r>
      <w:r w:rsidR="00E45DBD" w:rsidRPr="00E06ACB">
        <w:rPr>
          <w:rFonts w:ascii="Arial" w:eastAsia="Calibri" w:hAnsi="Arial" w:cs="Arial"/>
          <w:b/>
          <w:sz w:val="24"/>
          <w:szCs w:val="24"/>
          <w:lang w:val="es-ES"/>
        </w:rPr>
        <w:t>de dos mil veinticuatro</w:t>
      </w:r>
      <w:r w:rsidR="00E45DBD" w:rsidRPr="00CB6809">
        <w:rPr>
          <w:rFonts w:ascii="Arial" w:eastAsia="Calibri" w:hAnsi="Arial" w:cs="Arial"/>
          <w:b/>
          <w:sz w:val="24"/>
          <w:szCs w:val="24"/>
          <w:lang w:val="es-ES"/>
        </w:rPr>
        <w:t>,</w:t>
      </w:r>
      <w:r w:rsidR="00E45DBD" w:rsidRPr="00CB6809">
        <w:rPr>
          <w:rFonts w:ascii="Arial" w:eastAsia="Calibri" w:hAnsi="Arial" w:cs="Arial"/>
          <w:sz w:val="24"/>
          <w:szCs w:val="24"/>
          <w:lang w:val="es-ES"/>
        </w:rPr>
        <w:t xml:space="preserve"> doy cuenta al Pleno del Tribunal de Justicia Administrativa del Estado de Sonora</w:t>
      </w:r>
      <w:r w:rsidRPr="00CB68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con el estado procesal que guardan los autos</w:t>
      </w:r>
      <w:r w:rsidRPr="00CB6809">
        <w:rPr>
          <w:rFonts w:ascii="Arial" w:eastAsia="Calibri" w:hAnsi="Arial" w:cs="Arial"/>
          <w:sz w:val="24"/>
          <w:szCs w:val="24"/>
          <w:lang w:val="es-ES"/>
        </w:rPr>
        <w:t xml:space="preserve"> originales</w:t>
      </w:r>
      <w:r w:rsidR="00E45DBD" w:rsidRPr="00CB6809">
        <w:rPr>
          <w:rFonts w:ascii="Arial" w:eastAsia="Calibri" w:hAnsi="Arial" w:cs="Arial"/>
          <w:sz w:val="24"/>
          <w:szCs w:val="24"/>
          <w:lang w:val="es-ES"/>
        </w:rPr>
        <w:t xml:space="preserve"> del </w:t>
      </w:r>
      <w:r w:rsidR="00E45DBD" w:rsidRPr="00B73A09">
        <w:rPr>
          <w:rFonts w:ascii="Arial" w:eastAsia="Calibri" w:hAnsi="Arial" w:cs="Arial"/>
          <w:b/>
          <w:bCs/>
          <w:sz w:val="24"/>
          <w:szCs w:val="24"/>
          <w:lang w:val="es-ES"/>
        </w:rPr>
        <w:t xml:space="preserve">expediente </w:t>
      </w:r>
      <w:r w:rsidR="00D36C4C">
        <w:rPr>
          <w:rFonts w:ascii="Arial" w:eastAsia="Calibri" w:hAnsi="Arial" w:cs="Arial"/>
          <w:b/>
          <w:bCs/>
          <w:sz w:val="24"/>
          <w:szCs w:val="24"/>
          <w:lang w:val="es-ES"/>
        </w:rPr>
        <w:t>1377</w:t>
      </w:r>
      <w:r w:rsidR="00687F08" w:rsidRPr="00B73A09">
        <w:rPr>
          <w:rFonts w:ascii="Arial" w:eastAsia="Calibri" w:hAnsi="Arial" w:cs="Arial"/>
          <w:b/>
          <w:bCs/>
          <w:sz w:val="24"/>
          <w:szCs w:val="24"/>
          <w:lang w:val="es-ES"/>
        </w:rPr>
        <w:t>/20</w:t>
      </w:r>
      <w:r w:rsidR="00D36C4C">
        <w:rPr>
          <w:rFonts w:ascii="Arial" w:eastAsia="Calibri" w:hAnsi="Arial" w:cs="Arial"/>
          <w:b/>
          <w:bCs/>
          <w:sz w:val="24"/>
          <w:szCs w:val="24"/>
          <w:lang w:val="es-ES"/>
        </w:rPr>
        <w:t>19</w:t>
      </w:r>
      <w:r w:rsidR="00E45DBD" w:rsidRPr="00B73A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w:t>
      </w:r>
      <w:r w:rsidR="00E45DBD" w:rsidRPr="00CB6809">
        <w:rPr>
          <w:rFonts w:ascii="Arial" w:eastAsia="Calibri" w:hAnsi="Arial" w:cs="Arial"/>
          <w:b/>
          <w:sz w:val="24"/>
          <w:szCs w:val="24"/>
          <w:lang w:val="es-ES"/>
        </w:rPr>
        <w:t xml:space="preserve">CONSTE. - </w:t>
      </w:r>
    </w:p>
    <w:p w14:paraId="30E0703B" w14:textId="77777777" w:rsidR="00E45DBD" w:rsidRPr="00CB6809" w:rsidRDefault="00E45DBD" w:rsidP="003A62D8">
      <w:pPr>
        <w:tabs>
          <w:tab w:val="left" w:pos="8172"/>
        </w:tabs>
        <w:spacing w:after="200" w:line="360" w:lineRule="auto"/>
        <w:jc w:val="both"/>
        <w:rPr>
          <w:rFonts w:ascii="Arial" w:eastAsia="Calibri" w:hAnsi="Arial" w:cs="Arial"/>
          <w:b/>
          <w:bCs/>
          <w:sz w:val="24"/>
          <w:szCs w:val="24"/>
        </w:rPr>
      </w:pPr>
    </w:p>
    <w:p w14:paraId="492751EC" w14:textId="02590796" w:rsidR="0077682B" w:rsidRPr="00433320" w:rsidRDefault="00161C4D" w:rsidP="0077682B">
      <w:pPr>
        <w:tabs>
          <w:tab w:val="left" w:pos="8172"/>
        </w:tabs>
        <w:spacing w:after="200" w:line="360" w:lineRule="auto"/>
        <w:jc w:val="both"/>
        <w:rPr>
          <w:rFonts w:ascii="Arial" w:eastAsia="Calibri" w:hAnsi="Arial" w:cs="Arial"/>
          <w:sz w:val="24"/>
          <w:szCs w:val="24"/>
        </w:rPr>
      </w:pPr>
      <w:r w:rsidRPr="00CB6809">
        <w:rPr>
          <w:rFonts w:ascii="Arial" w:eastAsia="Calibri" w:hAnsi="Arial" w:cs="Arial"/>
          <w:bCs/>
          <w:sz w:val="24"/>
          <w:szCs w:val="24"/>
        </w:rPr>
        <w:t>- - -</w:t>
      </w:r>
      <w:r w:rsidRPr="00CB6809">
        <w:rPr>
          <w:rFonts w:ascii="Arial" w:eastAsia="Calibri" w:hAnsi="Arial" w:cs="Arial"/>
          <w:b/>
          <w:bCs/>
          <w:sz w:val="24"/>
          <w:szCs w:val="24"/>
        </w:rPr>
        <w:t xml:space="preserve"> </w:t>
      </w:r>
      <w:r w:rsidRPr="00EE7212">
        <w:rPr>
          <w:rFonts w:ascii="Arial" w:eastAsia="Calibri" w:hAnsi="Arial" w:cs="Arial"/>
          <w:b/>
          <w:bCs/>
          <w:sz w:val="24"/>
          <w:szCs w:val="24"/>
        </w:rPr>
        <w:t>AUTO.- HERMOSILLO</w:t>
      </w:r>
      <w:r w:rsidRPr="00EE7212">
        <w:rPr>
          <w:rFonts w:ascii="Arial" w:eastAsia="Calibri" w:hAnsi="Arial" w:cs="Arial"/>
          <w:b/>
          <w:sz w:val="24"/>
          <w:szCs w:val="24"/>
        </w:rPr>
        <w:t xml:space="preserve">, SONORA A </w:t>
      </w:r>
      <w:r w:rsidR="00D36C4C">
        <w:rPr>
          <w:rFonts w:ascii="Arial" w:eastAsia="Calibri" w:hAnsi="Arial" w:cs="Arial"/>
          <w:b/>
          <w:sz w:val="24"/>
          <w:szCs w:val="24"/>
        </w:rPr>
        <w:t>VEINTISEIS</w:t>
      </w:r>
      <w:r w:rsidR="00491E5D">
        <w:rPr>
          <w:rFonts w:ascii="Arial" w:eastAsia="Calibri" w:hAnsi="Arial" w:cs="Arial"/>
          <w:b/>
          <w:sz w:val="24"/>
          <w:szCs w:val="24"/>
        </w:rPr>
        <w:t xml:space="preserve"> DE JUNIO </w:t>
      </w:r>
      <w:r w:rsidRPr="00EE7212">
        <w:rPr>
          <w:rFonts w:ascii="Arial" w:eastAsia="Calibri" w:hAnsi="Arial" w:cs="Arial"/>
          <w:b/>
          <w:sz w:val="24"/>
          <w:szCs w:val="24"/>
        </w:rPr>
        <w:t>DEL DOS MIL VEINTICUATRO</w:t>
      </w:r>
      <w:r w:rsidRPr="00EE7212">
        <w:rPr>
          <w:rFonts w:ascii="Arial" w:eastAsia="Calibri" w:hAnsi="Arial" w:cs="Arial"/>
          <w:b/>
          <w:sz w:val="24"/>
          <w:szCs w:val="24"/>
          <w:lang w:val="es-ES"/>
        </w:rPr>
        <w:t>.</w:t>
      </w:r>
      <w:r>
        <w:rPr>
          <w:rFonts w:ascii="Arial" w:eastAsia="Calibri" w:hAnsi="Arial" w:cs="Arial"/>
          <w:sz w:val="24"/>
          <w:szCs w:val="24"/>
          <w:lang w:val="es-ES"/>
        </w:rPr>
        <w:t xml:space="preserve"> - - - - - - - - - - - - - - - - - - - - - - - - - - - - - - - - - </w:t>
      </w:r>
      <w:r w:rsidR="003F76CF">
        <w:rPr>
          <w:rFonts w:ascii="Arial" w:eastAsia="Calibri" w:hAnsi="Arial" w:cs="Arial"/>
          <w:sz w:val="24"/>
          <w:szCs w:val="24"/>
          <w:lang w:val="es-ES"/>
        </w:rPr>
        <w:t xml:space="preserve">- - - - </w:t>
      </w:r>
      <w:r>
        <w:rPr>
          <w:rFonts w:ascii="Arial" w:eastAsia="Calibri" w:hAnsi="Arial" w:cs="Arial"/>
          <w:sz w:val="24"/>
          <w:szCs w:val="24"/>
          <w:lang w:val="es-ES"/>
        </w:rPr>
        <w:t xml:space="preserve">- - - - - </w:t>
      </w:r>
      <w:r w:rsidR="00610639">
        <w:rPr>
          <w:rFonts w:ascii="Arial" w:eastAsia="Calibri" w:hAnsi="Arial" w:cs="Arial"/>
          <w:sz w:val="24"/>
          <w:szCs w:val="24"/>
          <w:lang w:val="es-ES"/>
        </w:rPr>
        <w:t>-</w:t>
      </w:r>
      <w:r w:rsidR="00740DEE">
        <w:rPr>
          <w:rFonts w:ascii="Arial" w:eastAsia="Calibri" w:hAnsi="Arial" w:cs="Arial"/>
          <w:sz w:val="24"/>
          <w:szCs w:val="24"/>
          <w:lang w:val="es-ES"/>
        </w:rPr>
        <w:t xml:space="preserve"> - </w:t>
      </w:r>
      <w:r w:rsidR="0056488A">
        <w:rPr>
          <w:rFonts w:ascii="Arial" w:eastAsia="Calibri" w:hAnsi="Arial" w:cs="Arial"/>
          <w:sz w:val="24"/>
          <w:szCs w:val="24"/>
          <w:lang w:val="es-ES"/>
        </w:rPr>
        <w:t xml:space="preserve"> - </w:t>
      </w:r>
      <w:r w:rsidR="00491E5D">
        <w:rPr>
          <w:rFonts w:ascii="Arial" w:eastAsia="Calibri" w:hAnsi="Arial" w:cs="Arial"/>
          <w:sz w:val="24"/>
          <w:szCs w:val="24"/>
          <w:lang w:val="es-ES"/>
        </w:rPr>
        <w:t xml:space="preserve">- - - </w:t>
      </w:r>
      <w:r w:rsidR="00E45DBD" w:rsidRPr="00CB6809">
        <w:rPr>
          <w:rFonts w:ascii="Arial" w:eastAsia="Calibri" w:hAnsi="Arial" w:cs="Arial"/>
          <w:b/>
          <w:bCs/>
          <w:sz w:val="24"/>
          <w:szCs w:val="24"/>
        </w:rPr>
        <w:t xml:space="preserve">V I S T A </w:t>
      </w:r>
      <w:r w:rsidR="00E45DBD" w:rsidRPr="00CB6809">
        <w:rPr>
          <w:rFonts w:ascii="Arial" w:eastAsia="Calibri" w:hAnsi="Arial" w:cs="Arial"/>
          <w:sz w:val="24"/>
          <w:szCs w:val="24"/>
        </w:rPr>
        <w:t xml:space="preserve">la </w:t>
      </w:r>
      <w:r w:rsidR="00E45DBD" w:rsidRPr="00B73A09">
        <w:rPr>
          <w:rFonts w:ascii="Arial" w:eastAsia="Calibri" w:hAnsi="Arial" w:cs="Arial"/>
          <w:sz w:val="24"/>
          <w:szCs w:val="24"/>
        </w:rPr>
        <w:t xml:space="preserve">cuenta que antecede, del análisis de los autos del expediente </w:t>
      </w:r>
      <w:r w:rsidR="003C353D" w:rsidRPr="00B73A09">
        <w:rPr>
          <w:rFonts w:ascii="Arial" w:eastAsia="Calibri" w:hAnsi="Arial" w:cs="Arial"/>
          <w:sz w:val="24"/>
          <w:szCs w:val="24"/>
        </w:rPr>
        <w:t xml:space="preserve">de mérito relativo al </w:t>
      </w:r>
      <w:r w:rsidR="003542CF" w:rsidRPr="00B73A09">
        <w:rPr>
          <w:rFonts w:ascii="Arial" w:eastAsia="Calibri" w:hAnsi="Arial" w:cs="Arial"/>
          <w:b/>
          <w:bCs/>
          <w:sz w:val="24"/>
          <w:szCs w:val="24"/>
        </w:rPr>
        <w:t>JUICIO ADMINISTRATIVO</w:t>
      </w:r>
      <w:r w:rsidR="00610639" w:rsidRPr="00B73A09">
        <w:rPr>
          <w:rFonts w:ascii="Arial" w:eastAsia="Calibri" w:hAnsi="Arial" w:cs="Arial"/>
          <w:sz w:val="24"/>
          <w:szCs w:val="24"/>
        </w:rPr>
        <w:t>, promovido por</w:t>
      </w:r>
      <w:r w:rsidR="00C61788">
        <w:rPr>
          <w:rFonts w:ascii="Arial" w:eastAsia="Calibri" w:hAnsi="Arial" w:cs="Arial"/>
          <w:sz w:val="24"/>
          <w:szCs w:val="24"/>
        </w:rPr>
        <w:t xml:space="preserve"> </w:t>
      </w:r>
      <w:r w:rsidR="00A374C8">
        <w:rPr>
          <w:rFonts w:ascii="Arial" w:eastAsia="Calibri" w:hAnsi="Arial" w:cs="Arial"/>
          <w:b/>
          <w:sz w:val="24"/>
          <w:szCs w:val="24"/>
        </w:rPr>
        <w:t>**** **** **** ****</w:t>
      </w:r>
      <w:r w:rsidR="00D36C4C">
        <w:rPr>
          <w:rFonts w:ascii="Arial" w:eastAsia="Calibri" w:hAnsi="Arial" w:cs="Arial"/>
          <w:b/>
          <w:sz w:val="24"/>
          <w:szCs w:val="24"/>
        </w:rPr>
        <w:t xml:space="preserve"> </w:t>
      </w:r>
      <w:r w:rsidR="00D36C4C" w:rsidRPr="00D36C4C">
        <w:rPr>
          <w:rFonts w:ascii="Arial" w:eastAsia="Calibri" w:hAnsi="Arial" w:cs="Arial"/>
          <w:sz w:val="24"/>
          <w:szCs w:val="24"/>
        </w:rPr>
        <w:t>en su carácter de representante legal de la empresa</w:t>
      </w:r>
      <w:r w:rsidR="00D36C4C">
        <w:rPr>
          <w:rFonts w:ascii="Arial" w:eastAsia="Calibri" w:hAnsi="Arial" w:cs="Arial"/>
          <w:b/>
          <w:sz w:val="24"/>
          <w:szCs w:val="24"/>
        </w:rPr>
        <w:t xml:space="preserve"> CADENA COMERCIAL OXXO, SOCIEDAD ANÓNIMA DE CAPITAL VARIABLE</w:t>
      </w:r>
      <w:r w:rsidR="00F4367A" w:rsidRPr="00B73A09">
        <w:rPr>
          <w:rFonts w:ascii="Arial" w:eastAsia="Calibri" w:hAnsi="Arial" w:cs="Arial"/>
          <w:sz w:val="24"/>
          <w:szCs w:val="24"/>
        </w:rPr>
        <w:t xml:space="preserve">, </w:t>
      </w:r>
      <w:r w:rsidR="0010551C" w:rsidRPr="00B73A09">
        <w:rPr>
          <w:rFonts w:ascii="Arial" w:eastAsia="Calibri" w:hAnsi="Arial" w:cs="Arial"/>
          <w:sz w:val="24"/>
          <w:szCs w:val="24"/>
        </w:rPr>
        <w:t xml:space="preserve">en contra del </w:t>
      </w:r>
      <w:r w:rsidR="00D36C4C">
        <w:rPr>
          <w:rFonts w:ascii="Arial" w:eastAsia="Calibri" w:hAnsi="Arial" w:cs="Arial"/>
          <w:b/>
          <w:sz w:val="24"/>
          <w:szCs w:val="24"/>
        </w:rPr>
        <w:t xml:space="preserve">JEFE DE LA UNIDAD DE CONTROL SANITARIO DE HERMOSILLO DE LA SECRETARIA DE SALUD PÚBLICA DEL GOBIERNO DEL ESTADO </w:t>
      </w:r>
      <w:r w:rsidR="001B62CD">
        <w:rPr>
          <w:rFonts w:ascii="Arial" w:eastAsia="Calibri" w:hAnsi="Arial" w:cs="Arial"/>
          <w:b/>
          <w:sz w:val="24"/>
          <w:szCs w:val="24"/>
        </w:rPr>
        <w:t>DE SONORA</w:t>
      </w:r>
      <w:r w:rsidR="00433320" w:rsidRPr="00B73A09">
        <w:rPr>
          <w:rFonts w:ascii="Arial" w:eastAsia="Calibri" w:hAnsi="Arial" w:cs="Arial"/>
          <w:sz w:val="24"/>
          <w:szCs w:val="24"/>
        </w:rPr>
        <w:t>, se</w:t>
      </w:r>
      <w:r w:rsidR="008634FB" w:rsidRPr="00B73A09">
        <w:rPr>
          <w:rFonts w:ascii="Arial" w:eastAsia="Calibri" w:hAnsi="Arial" w:cs="Arial"/>
          <w:sz w:val="24"/>
          <w:szCs w:val="24"/>
        </w:rPr>
        <w:t xml:space="preserve"> advierte </w:t>
      </w:r>
      <w:r w:rsidR="00E45DBD" w:rsidRPr="00B73A09">
        <w:rPr>
          <w:rFonts w:ascii="Arial" w:eastAsia="Calibri" w:hAnsi="Arial" w:cs="Arial"/>
          <w:sz w:val="24"/>
          <w:szCs w:val="24"/>
        </w:rPr>
        <w:t>la actualización de la causal de sobreseimiento prevista por el artículo 87</w:t>
      </w:r>
      <w:r w:rsidRPr="00B73A09">
        <w:rPr>
          <w:rFonts w:ascii="Arial" w:eastAsia="Calibri" w:hAnsi="Arial" w:cs="Arial"/>
          <w:sz w:val="24"/>
          <w:szCs w:val="24"/>
        </w:rPr>
        <w:t xml:space="preserve"> [</w:t>
      </w:r>
      <w:r w:rsidR="00E45DBD" w:rsidRPr="00B73A09">
        <w:rPr>
          <w:rFonts w:ascii="Arial" w:eastAsia="Calibri" w:hAnsi="Arial" w:cs="Arial"/>
          <w:sz w:val="24"/>
          <w:szCs w:val="24"/>
        </w:rPr>
        <w:t>fracción V</w:t>
      </w:r>
      <w:r w:rsidRPr="00B73A09">
        <w:rPr>
          <w:rFonts w:ascii="Arial" w:eastAsia="Calibri" w:hAnsi="Arial" w:cs="Arial"/>
          <w:sz w:val="24"/>
          <w:szCs w:val="24"/>
        </w:rPr>
        <w:t>]</w:t>
      </w:r>
      <w:r w:rsidR="00E45DBD" w:rsidRPr="00B73A09">
        <w:rPr>
          <w:rFonts w:ascii="Arial" w:eastAsia="Calibri" w:hAnsi="Arial" w:cs="Arial"/>
          <w:sz w:val="24"/>
          <w:szCs w:val="24"/>
        </w:rPr>
        <w:t xml:space="preserve"> de la Ley de Justicia Administrativa del Estado de Sonora, mismo</w:t>
      </w:r>
      <w:r w:rsidR="00E45DBD" w:rsidRPr="00CB6809">
        <w:rPr>
          <w:rFonts w:ascii="Arial" w:eastAsia="Calibri" w:hAnsi="Arial" w:cs="Arial"/>
          <w:sz w:val="24"/>
          <w:szCs w:val="24"/>
        </w:rPr>
        <w:t xml:space="preserve"> que para su estudio, a la letra se cita: </w:t>
      </w:r>
      <w:r w:rsidR="001B62CD">
        <w:rPr>
          <w:rFonts w:ascii="Arial" w:eastAsia="Calibri" w:hAnsi="Arial" w:cs="Arial"/>
          <w:sz w:val="24"/>
          <w:szCs w:val="24"/>
        </w:rPr>
        <w:t xml:space="preserve">- - - - - - - - - - - - - - - - - - - </w:t>
      </w:r>
      <w:r w:rsidR="00C61788">
        <w:rPr>
          <w:rFonts w:ascii="Arial" w:eastAsia="Calibri" w:hAnsi="Arial" w:cs="Arial"/>
          <w:sz w:val="24"/>
          <w:szCs w:val="24"/>
          <w:lang w:val="es-ES"/>
        </w:rPr>
        <w:t>-</w:t>
      </w:r>
      <w:r w:rsidR="009D42E8">
        <w:rPr>
          <w:rFonts w:ascii="Arial" w:eastAsia="Calibri" w:hAnsi="Arial" w:cs="Arial"/>
          <w:sz w:val="24"/>
          <w:szCs w:val="24"/>
          <w:lang w:val="es-ES"/>
        </w:rPr>
        <w:t xml:space="preserve"> - -</w:t>
      </w:r>
      <w:r w:rsidR="00CB6809">
        <w:rPr>
          <w:rFonts w:ascii="Arial" w:eastAsia="Calibri" w:hAnsi="Arial" w:cs="Arial"/>
          <w:sz w:val="24"/>
          <w:szCs w:val="24"/>
          <w:lang w:val="es-ES"/>
        </w:rPr>
        <w:t xml:space="preserve"> (…) </w:t>
      </w:r>
      <w:r w:rsidR="00E45DBD" w:rsidRPr="00CB6809">
        <w:rPr>
          <w:rFonts w:ascii="Arial" w:eastAsia="Calibri" w:hAnsi="Arial" w:cs="Arial"/>
          <w:i/>
          <w:iCs/>
          <w:sz w:val="24"/>
          <w:szCs w:val="24"/>
        </w:rPr>
        <w:t>“</w:t>
      </w:r>
      <w:r w:rsidR="00E45DBD" w:rsidRPr="00CB6809">
        <w:rPr>
          <w:rFonts w:ascii="Arial" w:eastAsia="Calibri" w:hAnsi="Arial" w:cs="Arial"/>
          <w:b/>
          <w:bCs/>
          <w:i/>
          <w:iCs/>
          <w:sz w:val="24"/>
          <w:szCs w:val="24"/>
        </w:rPr>
        <w:t>ARTÍCULO 87. Procede el sobreseimiento del juicio cuando</w:t>
      </w:r>
      <w:r w:rsidR="00E45DBD" w:rsidRPr="00CB6809">
        <w:rPr>
          <w:rFonts w:ascii="Arial" w:eastAsia="Calibri" w:hAnsi="Arial" w:cs="Arial"/>
          <w:i/>
          <w:iCs/>
          <w:sz w:val="24"/>
          <w:szCs w:val="24"/>
        </w:rPr>
        <w:t xml:space="preserve">: </w:t>
      </w:r>
      <w:r w:rsidR="00CB6809">
        <w:rPr>
          <w:rFonts w:ascii="Arial" w:eastAsia="Calibri" w:hAnsi="Arial" w:cs="Arial"/>
          <w:i/>
          <w:iCs/>
          <w:sz w:val="24"/>
          <w:szCs w:val="24"/>
        </w:rPr>
        <w:t xml:space="preserve">- - - - - - - </w:t>
      </w:r>
      <w:r w:rsidR="00E45DBD" w:rsidRPr="00CB6809">
        <w:rPr>
          <w:rFonts w:ascii="Arial" w:eastAsia="Calibri" w:hAnsi="Arial" w:cs="Arial"/>
          <w:i/>
          <w:iCs/>
          <w:sz w:val="24"/>
          <w:szCs w:val="24"/>
        </w:rPr>
        <w:t xml:space="preserve">I.- El demandante se desista expresamente de la acción intentada; </w:t>
      </w:r>
      <w:r w:rsidR="00CB6809">
        <w:rPr>
          <w:rFonts w:ascii="Arial" w:eastAsia="Calibri" w:hAnsi="Arial" w:cs="Arial"/>
          <w:i/>
          <w:iCs/>
          <w:sz w:val="24"/>
          <w:szCs w:val="24"/>
        </w:rPr>
        <w:t xml:space="preserve">- - - - - - - - - </w:t>
      </w:r>
      <w:r w:rsidR="00E45DBD" w:rsidRPr="00CB6809">
        <w:rPr>
          <w:rFonts w:ascii="Arial" w:eastAsia="Calibri" w:hAnsi="Arial" w:cs="Arial"/>
          <w:i/>
          <w:iCs/>
          <w:sz w:val="24"/>
          <w:szCs w:val="24"/>
        </w:rPr>
        <w:t xml:space="preserve">II.- El actor fallezca durante el juicio, siempre que no se trate de derechos transmisibles; </w:t>
      </w:r>
      <w:r w:rsidR="00CB6809">
        <w:rPr>
          <w:rFonts w:ascii="Arial" w:eastAsia="Calibri" w:hAnsi="Arial" w:cs="Arial"/>
          <w:i/>
          <w:iCs/>
          <w:sz w:val="24"/>
          <w:szCs w:val="24"/>
        </w:rPr>
        <w:t xml:space="preserve">- - - - - - - - - - - - - - - - - - - - - - - - - - - - - - - - - - - - - - - - - - - - - - - - - - - </w:t>
      </w:r>
      <w:r w:rsidR="00E45DBD" w:rsidRPr="00CB6809">
        <w:rPr>
          <w:rFonts w:ascii="Arial" w:eastAsia="Calibri" w:hAnsi="Arial" w:cs="Arial"/>
          <w:i/>
          <w:iCs/>
          <w:sz w:val="24"/>
          <w:szCs w:val="24"/>
        </w:rPr>
        <w:t xml:space="preserve">III. Sobrevenga o se advierta durante el juicio o al dictar sentencia, alguno de los casos de improcedencia a que se refiere el artículo anterior; </w:t>
      </w:r>
      <w:r w:rsidR="00CB6809">
        <w:rPr>
          <w:rFonts w:ascii="Arial" w:eastAsia="Calibri" w:hAnsi="Arial" w:cs="Arial"/>
          <w:i/>
          <w:iCs/>
          <w:sz w:val="24"/>
          <w:szCs w:val="24"/>
        </w:rPr>
        <w:t xml:space="preserve">- - - - - - - - - - - - - </w:t>
      </w:r>
      <w:r w:rsidR="00E45DBD" w:rsidRPr="00CB6809">
        <w:rPr>
          <w:rFonts w:ascii="Arial" w:eastAsia="Calibri" w:hAnsi="Arial" w:cs="Arial"/>
          <w:i/>
          <w:iCs/>
          <w:sz w:val="24"/>
          <w:szCs w:val="24"/>
        </w:rPr>
        <w:t xml:space="preserve">IV.- De las constancias de autos se demuestre que no existe el acto impugnado, o cuando no se pruebe su existencia en la audiencia del juicio; </w:t>
      </w:r>
      <w:r w:rsidR="00CB6809">
        <w:rPr>
          <w:rFonts w:ascii="Arial" w:eastAsia="Calibri" w:hAnsi="Arial" w:cs="Arial"/>
          <w:i/>
          <w:iCs/>
          <w:sz w:val="24"/>
          <w:szCs w:val="24"/>
        </w:rPr>
        <w:t xml:space="preserve">- - - </w:t>
      </w:r>
      <w:r w:rsidR="00CB6809" w:rsidRPr="00930DB1">
        <w:rPr>
          <w:rFonts w:ascii="Arial" w:eastAsia="Calibri" w:hAnsi="Arial" w:cs="Arial"/>
          <w:b/>
          <w:bCs/>
          <w:i/>
          <w:iCs/>
          <w:sz w:val="24"/>
          <w:szCs w:val="24"/>
          <w:u w:val="single"/>
        </w:rPr>
        <w:t xml:space="preserve">- - - </w:t>
      </w:r>
      <w:r w:rsidR="00E45DBD" w:rsidRPr="00930DB1">
        <w:rPr>
          <w:rFonts w:ascii="Arial" w:eastAsia="Calibri" w:hAnsi="Arial" w:cs="Arial"/>
          <w:b/>
          <w:bCs/>
          <w:i/>
          <w:iCs/>
          <w:sz w:val="24"/>
          <w:szCs w:val="24"/>
          <w:u w:val="single"/>
        </w:rPr>
        <w:t>V.- No se haya efectuado ningún acto procesal durante el término de cien días naturales; o</w:t>
      </w:r>
      <w:r w:rsidR="00E45DBD" w:rsidRPr="00930DB1">
        <w:rPr>
          <w:rFonts w:ascii="Arial" w:eastAsia="Calibri" w:hAnsi="Arial" w:cs="Arial"/>
          <w:b/>
          <w:bCs/>
          <w:i/>
          <w:iCs/>
          <w:sz w:val="24"/>
          <w:szCs w:val="24"/>
        </w:rPr>
        <w:t xml:space="preserve"> </w:t>
      </w:r>
      <w:r w:rsidR="00CB6809" w:rsidRPr="00930DB1">
        <w:rPr>
          <w:rFonts w:ascii="Arial" w:eastAsia="Calibri" w:hAnsi="Arial" w:cs="Arial"/>
          <w:b/>
          <w:bCs/>
          <w:i/>
          <w:iCs/>
          <w:sz w:val="24"/>
          <w:szCs w:val="24"/>
        </w:rPr>
        <w:t xml:space="preserve">- - - - - - - - - - - - - - - - - - - - - - - - - - - - - - - - - - - - - - - - - </w:t>
      </w:r>
      <w:r w:rsidR="00CB6809" w:rsidRPr="00161C4D">
        <w:rPr>
          <w:rFonts w:ascii="Arial" w:eastAsia="Calibri" w:hAnsi="Arial" w:cs="Arial"/>
          <w:i/>
          <w:iCs/>
          <w:sz w:val="24"/>
          <w:szCs w:val="24"/>
        </w:rPr>
        <w:t xml:space="preserve">- - - </w:t>
      </w:r>
      <w:r w:rsidR="00E45DBD" w:rsidRPr="00930DB1">
        <w:rPr>
          <w:rFonts w:ascii="Arial" w:eastAsia="Calibri" w:hAnsi="Arial" w:cs="Arial"/>
          <w:i/>
          <w:iCs/>
          <w:sz w:val="24"/>
          <w:szCs w:val="24"/>
        </w:rPr>
        <w:t>VI.- La parte demandada haya satisfecho las necesidades del actor. El sobreseimiento no prejuzga sobre la responsabilidad en que haya incurrido la demandada”;</w:t>
      </w:r>
      <w:r w:rsidR="00E45DBD" w:rsidRPr="00CB6809">
        <w:rPr>
          <w:rFonts w:ascii="Arial" w:eastAsia="Calibri" w:hAnsi="Arial" w:cs="Arial"/>
          <w:b/>
          <w:bCs/>
          <w:i/>
          <w:iCs/>
          <w:sz w:val="24"/>
          <w:szCs w:val="24"/>
        </w:rPr>
        <w:t xml:space="preserve"> </w:t>
      </w:r>
      <w:r w:rsidR="00CB6809" w:rsidRPr="00CB6809">
        <w:rPr>
          <w:rFonts w:ascii="Arial" w:eastAsia="Calibri" w:hAnsi="Arial" w:cs="Arial"/>
          <w:bCs/>
          <w:i/>
          <w:iCs/>
          <w:sz w:val="24"/>
          <w:szCs w:val="24"/>
        </w:rPr>
        <w:t>- -</w:t>
      </w:r>
      <w:r w:rsidR="00CB6809">
        <w:rPr>
          <w:rFonts w:ascii="Arial" w:eastAsia="Calibri" w:hAnsi="Arial" w:cs="Arial"/>
          <w:bCs/>
          <w:i/>
          <w:iCs/>
          <w:sz w:val="24"/>
          <w:szCs w:val="24"/>
        </w:rPr>
        <w:t xml:space="preserve"> - - - - - - - - - - - - - - - - - - - - - - - - - - - - - - - - - - -</w:t>
      </w:r>
      <w:bookmarkStart w:id="1" w:name="_Hlk136255550"/>
      <w:r w:rsidR="00CB6809">
        <w:rPr>
          <w:rFonts w:ascii="Arial" w:eastAsia="Calibri" w:hAnsi="Arial" w:cs="Arial"/>
          <w:bCs/>
          <w:i/>
          <w:iCs/>
          <w:sz w:val="24"/>
          <w:szCs w:val="24"/>
        </w:rPr>
        <w:t xml:space="preserve"> - - - - - - - - - </w:t>
      </w:r>
      <w:r w:rsidR="00E45DBD" w:rsidRPr="00CB6809">
        <w:rPr>
          <w:rFonts w:ascii="Arial" w:eastAsia="Calibri" w:hAnsi="Arial" w:cs="Arial"/>
          <w:sz w:val="24"/>
          <w:szCs w:val="24"/>
        </w:rPr>
        <w:t>- - -</w:t>
      </w:r>
      <w:r w:rsidR="00E27C15">
        <w:rPr>
          <w:rFonts w:ascii="Arial" w:eastAsia="Calibri" w:hAnsi="Arial" w:cs="Arial"/>
          <w:sz w:val="24"/>
          <w:szCs w:val="24"/>
        </w:rPr>
        <w:t xml:space="preserve"> - -</w:t>
      </w:r>
      <w:r w:rsidR="00E45DBD" w:rsidRPr="00CB6809">
        <w:rPr>
          <w:rFonts w:ascii="Arial" w:eastAsia="Calibri" w:hAnsi="Arial" w:cs="Arial"/>
          <w:sz w:val="24"/>
          <w:szCs w:val="24"/>
        </w:rPr>
        <w:t xml:space="preserve"> Conforme al dispositivo jurídico citado, se advierte de la imposición de autos el transcurso del término de </w:t>
      </w:r>
      <w:r w:rsidR="00E45DBD" w:rsidRPr="00CB44F3">
        <w:rPr>
          <w:rFonts w:ascii="Arial" w:eastAsia="Calibri" w:hAnsi="Arial" w:cs="Arial"/>
          <w:sz w:val="24"/>
          <w:szCs w:val="24"/>
          <w:u w:val="single"/>
        </w:rPr>
        <w:t xml:space="preserve">cien </w:t>
      </w:r>
      <w:r w:rsidR="00CB44F3">
        <w:rPr>
          <w:rFonts w:ascii="Arial" w:eastAsia="Calibri" w:hAnsi="Arial" w:cs="Arial"/>
          <w:sz w:val="24"/>
          <w:szCs w:val="24"/>
          <w:u w:val="single"/>
        </w:rPr>
        <w:t xml:space="preserve">(100) </w:t>
      </w:r>
      <w:r w:rsidR="00E45DBD" w:rsidRPr="00CB44F3">
        <w:rPr>
          <w:rFonts w:ascii="Arial" w:eastAsia="Calibri" w:hAnsi="Arial" w:cs="Arial"/>
          <w:sz w:val="24"/>
          <w:szCs w:val="24"/>
          <w:u w:val="single"/>
        </w:rPr>
        <w:t>días naturales</w:t>
      </w:r>
      <w:r w:rsidR="00E45DBD" w:rsidRPr="00CB6809">
        <w:rPr>
          <w:rFonts w:ascii="Arial" w:eastAsia="Calibri" w:hAnsi="Arial" w:cs="Arial"/>
          <w:sz w:val="24"/>
          <w:szCs w:val="24"/>
        </w:rPr>
        <w:t xml:space="preserve"> sin que se hubiese efectuado ningún acto procesal, </w:t>
      </w:r>
      <w:r w:rsidR="00E45DBD" w:rsidRPr="00CB44F3">
        <w:rPr>
          <w:rFonts w:ascii="Arial" w:eastAsia="Calibri" w:hAnsi="Arial" w:cs="Arial"/>
          <w:sz w:val="24"/>
          <w:szCs w:val="24"/>
        </w:rPr>
        <w:t>esto, ya que a</w:t>
      </w:r>
      <w:r w:rsidR="00433320">
        <w:rPr>
          <w:rFonts w:ascii="Arial" w:eastAsia="Calibri" w:hAnsi="Arial" w:cs="Arial"/>
          <w:sz w:val="24"/>
          <w:szCs w:val="24"/>
        </w:rPr>
        <w:t xml:space="preserve"> foja</w:t>
      </w:r>
      <w:r w:rsidR="00E45DBD" w:rsidRPr="00CB44F3">
        <w:rPr>
          <w:rFonts w:ascii="Arial" w:eastAsia="Calibri" w:hAnsi="Arial" w:cs="Arial"/>
          <w:sz w:val="24"/>
          <w:szCs w:val="24"/>
        </w:rPr>
        <w:t xml:space="preserve"> </w:t>
      </w:r>
      <w:r w:rsidR="00916937">
        <w:rPr>
          <w:rFonts w:ascii="Arial" w:eastAsia="Calibri" w:hAnsi="Arial" w:cs="Arial"/>
          <w:sz w:val="24"/>
          <w:szCs w:val="24"/>
        </w:rPr>
        <w:t xml:space="preserve">veintitrés </w:t>
      </w:r>
      <w:r w:rsidR="00E45DBD" w:rsidRPr="00CB44F3">
        <w:rPr>
          <w:rFonts w:ascii="Arial" w:eastAsia="Calibri" w:hAnsi="Arial" w:cs="Arial"/>
          <w:sz w:val="24"/>
          <w:szCs w:val="24"/>
        </w:rPr>
        <w:t xml:space="preserve">del sumario, se observa </w:t>
      </w:r>
      <w:r w:rsidR="00E27C15">
        <w:rPr>
          <w:rFonts w:ascii="Arial" w:eastAsia="Calibri" w:hAnsi="Arial" w:cs="Arial"/>
          <w:sz w:val="24"/>
          <w:szCs w:val="24"/>
        </w:rPr>
        <w:t xml:space="preserve">que el </w:t>
      </w:r>
      <w:r w:rsidR="00433320">
        <w:rPr>
          <w:rFonts w:ascii="Arial" w:eastAsia="Calibri" w:hAnsi="Arial" w:cs="Arial"/>
          <w:sz w:val="24"/>
          <w:szCs w:val="24"/>
          <w:u w:val="single"/>
        </w:rPr>
        <w:t xml:space="preserve">auto de fecha </w:t>
      </w:r>
      <w:r w:rsidR="00916937">
        <w:rPr>
          <w:rFonts w:ascii="Arial" w:eastAsia="Calibri" w:hAnsi="Arial" w:cs="Arial"/>
          <w:sz w:val="24"/>
          <w:szCs w:val="24"/>
          <w:u w:val="single"/>
        </w:rPr>
        <w:t xml:space="preserve">once de noviembre </w:t>
      </w:r>
      <w:r w:rsidR="00E45DBD" w:rsidRPr="00E06ACB">
        <w:rPr>
          <w:rFonts w:ascii="Arial" w:eastAsia="Calibri" w:hAnsi="Arial" w:cs="Arial"/>
          <w:sz w:val="24"/>
          <w:szCs w:val="24"/>
          <w:u w:val="single"/>
        </w:rPr>
        <w:t xml:space="preserve">dos mil </w:t>
      </w:r>
      <w:r w:rsidR="00916937">
        <w:rPr>
          <w:rFonts w:ascii="Arial" w:eastAsia="Calibri" w:hAnsi="Arial" w:cs="Arial"/>
          <w:sz w:val="24"/>
          <w:szCs w:val="24"/>
          <w:u w:val="single"/>
        </w:rPr>
        <w:t xml:space="preserve">diecinueve </w:t>
      </w:r>
      <w:r w:rsidR="003B1149" w:rsidRPr="00F4367A">
        <w:rPr>
          <w:rFonts w:ascii="Arial" w:eastAsia="Calibri" w:hAnsi="Arial" w:cs="Arial"/>
          <w:sz w:val="24"/>
          <w:szCs w:val="24"/>
        </w:rPr>
        <w:t>(f.</w:t>
      </w:r>
      <w:r w:rsidR="003B1149">
        <w:rPr>
          <w:rFonts w:ascii="Arial" w:eastAsia="Calibri" w:hAnsi="Arial" w:cs="Arial"/>
          <w:sz w:val="24"/>
          <w:szCs w:val="24"/>
        </w:rPr>
        <w:t xml:space="preserve"> </w:t>
      </w:r>
      <w:r w:rsidR="00916937">
        <w:rPr>
          <w:rFonts w:ascii="Arial" w:eastAsia="Calibri" w:hAnsi="Arial" w:cs="Arial"/>
          <w:sz w:val="24"/>
          <w:szCs w:val="24"/>
        </w:rPr>
        <w:t>2</w:t>
      </w:r>
      <w:r w:rsidR="003B1149">
        <w:rPr>
          <w:rFonts w:ascii="Arial" w:eastAsia="Calibri" w:hAnsi="Arial" w:cs="Arial"/>
          <w:sz w:val="24"/>
          <w:szCs w:val="24"/>
        </w:rPr>
        <w:t>3</w:t>
      </w:r>
      <w:r w:rsidR="003B1149" w:rsidRPr="00F4367A">
        <w:rPr>
          <w:rFonts w:ascii="Arial" w:eastAsia="Calibri" w:hAnsi="Arial" w:cs="Arial"/>
          <w:sz w:val="24"/>
          <w:szCs w:val="24"/>
        </w:rPr>
        <w:t>)</w:t>
      </w:r>
      <w:r w:rsidR="00E45DBD" w:rsidRPr="00E06ACB">
        <w:rPr>
          <w:rFonts w:ascii="Arial" w:eastAsia="Calibri" w:hAnsi="Arial" w:cs="Arial"/>
          <w:sz w:val="24"/>
          <w:szCs w:val="24"/>
        </w:rPr>
        <w:t>,</w:t>
      </w:r>
      <w:r w:rsidR="008654A4">
        <w:rPr>
          <w:rFonts w:ascii="Arial" w:eastAsia="Calibri" w:hAnsi="Arial" w:cs="Arial"/>
          <w:sz w:val="24"/>
          <w:szCs w:val="24"/>
        </w:rPr>
        <w:t xml:space="preserve"> mediante el cual </w:t>
      </w:r>
      <w:r w:rsidR="00433320">
        <w:rPr>
          <w:rFonts w:ascii="Arial" w:eastAsia="Calibri" w:hAnsi="Arial" w:cs="Arial"/>
          <w:sz w:val="24"/>
          <w:szCs w:val="24"/>
        </w:rPr>
        <w:t xml:space="preserve">se </w:t>
      </w:r>
      <w:r w:rsidR="001B62CD">
        <w:rPr>
          <w:rFonts w:ascii="Arial" w:eastAsia="Calibri" w:hAnsi="Arial" w:cs="Arial"/>
          <w:sz w:val="24"/>
          <w:szCs w:val="24"/>
        </w:rPr>
        <w:t>señaló nueva fecha para la celebración de la audiencia de pruebas y alegatos</w:t>
      </w:r>
      <w:r w:rsidR="0056488A">
        <w:rPr>
          <w:rFonts w:ascii="Arial" w:eastAsia="Calibri" w:hAnsi="Arial" w:cs="Arial"/>
          <w:sz w:val="24"/>
          <w:szCs w:val="24"/>
        </w:rPr>
        <w:t xml:space="preserve">, </w:t>
      </w:r>
      <w:r w:rsidR="00351456">
        <w:rPr>
          <w:rFonts w:ascii="Arial" w:eastAsia="Calibri" w:hAnsi="Arial" w:cs="Arial"/>
          <w:sz w:val="24"/>
          <w:szCs w:val="24"/>
        </w:rPr>
        <w:t xml:space="preserve">fue el último acto procesal que consta en </w:t>
      </w:r>
      <w:r w:rsidR="00ED1A6A">
        <w:rPr>
          <w:rFonts w:ascii="Arial" w:eastAsia="Calibri" w:hAnsi="Arial" w:cs="Arial"/>
          <w:sz w:val="24"/>
          <w:szCs w:val="24"/>
        </w:rPr>
        <w:t xml:space="preserve">el presente </w:t>
      </w:r>
      <w:r w:rsidR="00351456">
        <w:rPr>
          <w:rFonts w:ascii="Arial" w:eastAsia="Calibri" w:hAnsi="Arial" w:cs="Arial"/>
          <w:sz w:val="24"/>
          <w:szCs w:val="24"/>
        </w:rPr>
        <w:t>juicio</w:t>
      </w:r>
      <w:r w:rsidR="001830F0" w:rsidRPr="00C30EA5">
        <w:rPr>
          <w:rFonts w:ascii="Arial" w:eastAsia="Calibri" w:hAnsi="Arial" w:cs="Arial"/>
          <w:sz w:val="24"/>
          <w:szCs w:val="24"/>
        </w:rPr>
        <w:t xml:space="preserve">, </w:t>
      </w:r>
      <w:r w:rsidR="00351456">
        <w:rPr>
          <w:rFonts w:ascii="Arial" w:eastAsia="Calibri" w:hAnsi="Arial" w:cs="Arial"/>
          <w:sz w:val="24"/>
          <w:szCs w:val="24"/>
        </w:rPr>
        <w:t>siendo</w:t>
      </w:r>
      <w:r w:rsidR="001830F0" w:rsidRPr="00C30EA5">
        <w:rPr>
          <w:rFonts w:ascii="Arial" w:eastAsia="Calibri" w:hAnsi="Arial" w:cs="Arial"/>
          <w:sz w:val="24"/>
          <w:szCs w:val="24"/>
        </w:rPr>
        <w:t xml:space="preserve"> preciso señalar que con antelación al referido acuerdo</w:t>
      </w:r>
      <w:r w:rsidR="00ED1A6A">
        <w:rPr>
          <w:rFonts w:ascii="Arial" w:eastAsia="Calibri" w:hAnsi="Arial" w:cs="Arial"/>
          <w:sz w:val="24"/>
          <w:szCs w:val="24"/>
        </w:rPr>
        <w:t>,</w:t>
      </w:r>
      <w:r w:rsidR="001830F0" w:rsidRPr="00C30EA5">
        <w:rPr>
          <w:rFonts w:ascii="Arial" w:eastAsia="Calibri" w:hAnsi="Arial" w:cs="Arial"/>
          <w:sz w:val="24"/>
          <w:szCs w:val="24"/>
        </w:rPr>
        <w:t xml:space="preserve"> obra glosado al expediente, </w:t>
      </w:r>
      <w:r w:rsidR="00351456">
        <w:rPr>
          <w:rFonts w:ascii="Arial" w:eastAsia="Calibri" w:hAnsi="Arial" w:cs="Arial"/>
          <w:sz w:val="24"/>
          <w:szCs w:val="24"/>
        </w:rPr>
        <w:t xml:space="preserve">diverso </w:t>
      </w:r>
      <w:r w:rsidR="00560FC7" w:rsidRPr="00741636">
        <w:rPr>
          <w:rFonts w:ascii="Arial" w:eastAsia="Calibri" w:hAnsi="Arial" w:cs="Arial"/>
          <w:sz w:val="24"/>
          <w:szCs w:val="24"/>
          <w:u w:val="single"/>
        </w:rPr>
        <w:t xml:space="preserve">auto </w:t>
      </w:r>
      <w:r w:rsidR="001830F0" w:rsidRPr="00741636">
        <w:rPr>
          <w:rFonts w:ascii="Arial" w:eastAsia="Calibri" w:hAnsi="Arial" w:cs="Arial"/>
          <w:sz w:val="24"/>
          <w:szCs w:val="24"/>
          <w:u w:val="single"/>
        </w:rPr>
        <w:t xml:space="preserve">de </w:t>
      </w:r>
      <w:r w:rsidR="00916937">
        <w:rPr>
          <w:rFonts w:ascii="Arial" w:eastAsia="Calibri" w:hAnsi="Arial" w:cs="Arial"/>
          <w:sz w:val="24"/>
          <w:szCs w:val="24"/>
          <w:u w:val="single"/>
        </w:rPr>
        <w:t xml:space="preserve">once de julio </w:t>
      </w:r>
      <w:r w:rsidR="001830F0" w:rsidRPr="00C30EA5">
        <w:rPr>
          <w:rFonts w:ascii="Arial" w:eastAsia="Calibri" w:hAnsi="Arial" w:cs="Arial"/>
          <w:sz w:val="24"/>
          <w:szCs w:val="24"/>
          <w:u w:val="single"/>
        </w:rPr>
        <w:t xml:space="preserve">de dos mil </w:t>
      </w:r>
      <w:r w:rsidR="00916937">
        <w:rPr>
          <w:rFonts w:ascii="Arial" w:eastAsia="Calibri" w:hAnsi="Arial" w:cs="Arial"/>
          <w:sz w:val="24"/>
          <w:szCs w:val="24"/>
          <w:u w:val="single"/>
        </w:rPr>
        <w:t>diecinueve</w:t>
      </w:r>
      <w:r w:rsidR="001830F0" w:rsidRPr="00C30EA5">
        <w:rPr>
          <w:rFonts w:ascii="Arial" w:eastAsia="Calibri" w:hAnsi="Arial" w:cs="Arial"/>
          <w:sz w:val="24"/>
          <w:szCs w:val="24"/>
        </w:rPr>
        <w:t>,</w:t>
      </w:r>
      <w:r w:rsidR="003B1149">
        <w:rPr>
          <w:rFonts w:ascii="Arial" w:eastAsia="Calibri" w:hAnsi="Arial" w:cs="Arial"/>
          <w:sz w:val="24"/>
          <w:szCs w:val="24"/>
        </w:rPr>
        <w:t>(f</w:t>
      </w:r>
      <w:r w:rsidR="00916937">
        <w:rPr>
          <w:rFonts w:ascii="Arial" w:eastAsia="Calibri" w:hAnsi="Arial" w:cs="Arial"/>
          <w:sz w:val="24"/>
          <w:szCs w:val="24"/>
        </w:rPr>
        <w:t>f.</w:t>
      </w:r>
      <w:r w:rsidR="003B1149">
        <w:rPr>
          <w:rFonts w:ascii="Arial" w:eastAsia="Calibri" w:hAnsi="Arial" w:cs="Arial"/>
          <w:sz w:val="24"/>
          <w:szCs w:val="24"/>
        </w:rPr>
        <w:t xml:space="preserve"> </w:t>
      </w:r>
      <w:r w:rsidR="00916937">
        <w:rPr>
          <w:rFonts w:ascii="Arial" w:eastAsia="Calibri" w:hAnsi="Arial" w:cs="Arial"/>
          <w:sz w:val="24"/>
          <w:szCs w:val="24"/>
        </w:rPr>
        <w:t>21-22</w:t>
      </w:r>
      <w:r w:rsidR="003B1149">
        <w:rPr>
          <w:rFonts w:ascii="Arial" w:eastAsia="Calibri" w:hAnsi="Arial" w:cs="Arial"/>
          <w:sz w:val="24"/>
          <w:szCs w:val="24"/>
        </w:rPr>
        <w:t>)</w:t>
      </w:r>
      <w:r w:rsidR="001830F0" w:rsidRPr="00C30EA5">
        <w:rPr>
          <w:rFonts w:ascii="Arial" w:eastAsia="Calibri" w:hAnsi="Arial" w:cs="Arial"/>
          <w:sz w:val="24"/>
          <w:szCs w:val="24"/>
        </w:rPr>
        <w:t xml:space="preserve"> </w:t>
      </w:r>
      <w:r w:rsidR="00351456">
        <w:rPr>
          <w:rFonts w:ascii="Arial" w:eastAsia="Calibri" w:hAnsi="Arial" w:cs="Arial"/>
          <w:sz w:val="24"/>
          <w:szCs w:val="24"/>
        </w:rPr>
        <w:t xml:space="preserve">en el </w:t>
      </w:r>
      <w:r w:rsidR="00351456">
        <w:rPr>
          <w:rFonts w:ascii="Arial" w:eastAsia="Calibri" w:hAnsi="Arial" w:cs="Arial"/>
          <w:sz w:val="24"/>
          <w:szCs w:val="24"/>
        </w:rPr>
        <w:lastRenderedPageBreak/>
        <w:t>que</w:t>
      </w:r>
      <w:r w:rsidR="001830F0" w:rsidRPr="00C30EA5">
        <w:rPr>
          <w:rFonts w:ascii="Arial" w:eastAsia="Calibri" w:hAnsi="Arial" w:cs="Arial"/>
          <w:sz w:val="24"/>
          <w:szCs w:val="24"/>
        </w:rPr>
        <w:t xml:space="preserve"> </w:t>
      </w:r>
      <w:r w:rsidR="00351456">
        <w:rPr>
          <w:rFonts w:ascii="Arial" w:eastAsia="Calibri" w:hAnsi="Arial" w:cs="Arial"/>
          <w:sz w:val="24"/>
          <w:szCs w:val="24"/>
        </w:rPr>
        <w:t xml:space="preserve">se </w:t>
      </w:r>
      <w:r w:rsidR="00916937">
        <w:rPr>
          <w:rFonts w:ascii="Arial" w:eastAsia="Calibri" w:hAnsi="Arial" w:cs="Arial"/>
          <w:sz w:val="24"/>
          <w:szCs w:val="24"/>
        </w:rPr>
        <w:t>admitió la demanda</w:t>
      </w:r>
      <w:r w:rsidR="00423D25">
        <w:rPr>
          <w:rFonts w:ascii="Arial" w:eastAsia="Calibri" w:hAnsi="Arial" w:cs="Arial"/>
          <w:sz w:val="24"/>
          <w:szCs w:val="24"/>
        </w:rPr>
        <w:t>, se ordenó emplazar a la autoridad demandada</w:t>
      </w:r>
      <w:r w:rsidR="00916937">
        <w:rPr>
          <w:rFonts w:ascii="Arial" w:eastAsia="Calibri" w:hAnsi="Arial" w:cs="Arial"/>
          <w:sz w:val="24"/>
          <w:szCs w:val="24"/>
        </w:rPr>
        <w:t xml:space="preserve"> y </w:t>
      </w:r>
      <w:r w:rsidR="00423D25">
        <w:rPr>
          <w:rFonts w:ascii="Arial" w:eastAsia="Calibri" w:hAnsi="Arial" w:cs="Arial"/>
          <w:sz w:val="24"/>
          <w:szCs w:val="24"/>
        </w:rPr>
        <w:t xml:space="preserve">se </w:t>
      </w:r>
      <w:r w:rsidR="001830F0" w:rsidRPr="00C30EA5">
        <w:rPr>
          <w:rFonts w:ascii="Arial" w:eastAsia="Calibri" w:hAnsi="Arial" w:cs="Arial"/>
          <w:sz w:val="24"/>
          <w:szCs w:val="24"/>
        </w:rPr>
        <w:t xml:space="preserve">señaló fecha para la celebración de la audiencia de pruebas y alegatos.- - - - - - </w:t>
      </w:r>
      <w:r w:rsidR="002933A2">
        <w:rPr>
          <w:rFonts w:ascii="Arial" w:eastAsia="Calibri" w:hAnsi="Arial" w:cs="Arial"/>
          <w:sz w:val="24"/>
          <w:szCs w:val="24"/>
        </w:rPr>
        <w:t>- - -</w:t>
      </w:r>
      <w:r w:rsidR="0056488A">
        <w:rPr>
          <w:rFonts w:ascii="Arial" w:eastAsia="Calibri" w:hAnsi="Arial" w:cs="Arial"/>
          <w:sz w:val="24"/>
          <w:szCs w:val="24"/>
        </w:rPr>
        <w:t xml:space="preserve"> </w:t>
      </w:r>
      <w:r w:rsidR="00B869C9" w:rsidRPr="00F76829">
        <w:rPr>
          <w:rFonts w:ascii="Arial" w:eastAsia="Calibri" w:hAnsi="Arial" w:cs="Arial"/>
          <w:sz w:val="24"/>
          <w:szCs w:val="24"/>
        </w:rPr>
        <w:t>Ahora bien, de lo anterior se infiere que</w:t>
      </w:r>
      <w:r w:rsidR="006D2FAA" w:rsidRPr="00F76829">
        <w:rPr>
          <w:rFonts w:ascii="Arial" w:eastAsia="Calibri" w:hAnsi="Arial" w:cs="Arial"/>
          <w:sz w:val="24"/>
          <w:szCs w:val="24"/>
        </w:rPr>
        <w:t>,</w:t>
      </w:r>
      <w:r w:rsidR="00E45DBD" w:rsidRPr="00F76829">
        <w:rPr>
          <w:rFonts w:ascii="Arial" w:eastAsia="Calibri" w:hAnsi="Arial" w:cs="Arial"/>
          <w:sz w:val="24"/>
          <w:szCs w:val="24"/>
        </w:rPr>
        <w:t xml:space="preserve"> </w:t>
      </w:r>
      <w:r w:rsidR="00E45DBD" w:rsidRPr="00E06ACB">
        <w:rPr>
          <w:rFonts w:ascii="Arial" w:eastAsia="Calibri" w:hAnsi="Arial" w:cs="Arial"/>
          <w:sz w:val="24"/>
          <w:szCs w:val="24"/>
        </w:rPr>
        <w:t xml:space="preserve">del </w:t>
      </w:r>
      <w:r w:rsidR="00423D25">
        <w:rPr>
          <w:rFonts w:ascii="Arial" w:eastAsia="Calibri" w:hAnsi="Arial" w:cs="Arial"/>
          <w:sz w:val="24"/>
          <w:szCs w:val="24"/>
          <w:u w:val="single"/>
        </w:rPr>
        <w:t xml:space="preserve">once de noviembre </w:t>
      </w:r>
      <w:r w:rsidR="00433320">
        <w:rPr>
          <w:rFonts w:ascii="Arial" w:eastAsia="Calibri" w:hAnsi="Arial" w:cs="Arial"/>
          <w:sz w:val="24"/>
          <w:szCs w:val="24"/>
          <w:u w:val="single"/>
        </w:rPr>
        <w:t xml:space="preserve">de </w:t>
      </w:r>
      <w:r w:rsidR="003F76CF" w:rsidRPr="00E06ACB">
        <w:rPr>
          <w:rFonts w:ascii="Arial" w:eastAsia="Calibri" w:hAnsi="Arial" w:cs="Arial"/>
          <w:sz w:val="24"/>
          <w:szCs w:val="24"/>
          <w:u w:val="single"/>
        </w:rPr>
        <w:t xml:space="preserve">dos mil </w:t>
      </w:r>
      <w:r w:rsidR="00423D25">
        <w:rPr>
          <w:rFonts w:ascii="Arial" w:eastAsia="Calibri" w:hAnsi="Arial" w:cs="Arial"/>
          <w:sz w:val="24"/>
          <w:szCs w:val="24"/>
          <w:u w:val="single"/>
        </w:rPr>
        <w:t xml:space="preserve">diecinueve </w:t>
      </w:r>
      <w:r w:rsidR="003F76CF" w:rsidRPr="00E06ACB">
        <w:rPr>
          <w:rFonts w:ascii="Arial" w:eastAsia="Calibri" w:hAnsi="Arial" w:cs="Arial"/>
          <w:sz w:val="24"/>
          <w:szCs w:val="24"/>
          <w:u w:val="single"/>
        </w:rPr>
        <w:t xml:space="preserve">al </w:t>
      </w:r>
      <w:r w:rsidR="00423D25">
        <w:rPr>
          <w:rFonts w:ascii="Arial" w:eastAsia="Calibri" w:hAnsi="Arial" w:cs="Arial"/>
          <w:sz w:val="24"/>
          <w:szCs w:val="24"/>
          <w:u w:val="single"/>
        </w:rPr>
        <w:t xml:space="preserve">veinticinco de junio </w:t>
      </w:r>
      <w:r w:rsidR="00433320">
        <w:rPr>
          <w:rFonts w:ascii="Arial" w:eastAsia="Calibri" w:hAnsi="Arial" w:cs="Arial"/>
          <w:sz w:val="24"/>
          <w:szCs w:val="24"/>
          <w:u w:val="single"/>
        </w:rPr>
        <w:t>de dos mil veinticuatro</w:t>
      </w:r>
      <w:r w:rsidR="00433320">
        <w:rPr>
          <w:rFonts w:ascii="Arial" w:eastAsia="Calibri" w:hAnsi="Arial" w:cs="Arial"/>
          <w:sz w:val="24"/>
          <w:szCs w:val="24"/>
        </w:rPr>
        <w:t>,</w:t>
      </w:r>
      <w:r w:rsidR="003F76CF" w:rsidRPr="00CB6809">
        <w:rPr>
          <w:rFonts w:ascii="Arial" w:eastAsia="Calibri" w:hAnsi="Arial" w:cs="Arial"/>
          <w:sz w:val="24"/>
          <w:szCs w:val="24"/>
        </w:rPr>
        <w:t xml:space="preserve"> han trascurrido </w:t>
      </w:r>
      <w:r w:rsidR="00423D25">
        <w:rPr>
          <w:rFonts w:ascii="Arial" w:eastAsia="Calibri" w:hAnsi="Arial" w:cs="Arial"/>
          <w:b/>
          <w:bCs/>
          <w:sz w:val="24"/>
          <w:szCs w:val="24"/>
          <w:u w:val="single"/>
        </w:rPr>
        <w:t xml:space="preserve">mil seiscientos ochenta y ocho </w:t>
      </w:r>
      <w:r w:rsidR="001B62CD">
        <w:rPr>
          <w:rFonts w:ascii="Arial" w:eastAsia="Calibri" w:hAnsi="Arial" w:cs="Arial"/>
          <w:b/>
          <w:bCs/>
          <w:sz w:val="24"/>
          <w:szCs w:val="24"/>
          <w:u w:val="single"/>
        </w:rPr>
        <w:t xml:space="preserve">días </w:t>
      </w:r>
      <w:r w:rsidR="003F76CF" w:rsidRPr="001C4456">
        <w:rPr>
          <w:rFonts w:ascii="Arial" w:eastAsia="Calibri" w:hAnsi="Arial" w:cs="Arial"/>
          <w:b/>
          <w:bCs/>
          <w:sz w:val="24"/>
          <w:szCs w:val="24"/>
          <w:u w:val="single"/>
        </w:rPr>
        <w:t>(</w:t>
      </w:r>
      <w:r w:rsidR="001B62CD">
        <w:rPr>
          <w:rFonts w:ascii="Arial" w:eastAsia="Calibri" w:hAnsi="Arial" w:cs="Arial"/>
          <w:b/>
          <w:bCs/>
          <w:sz w:val="24"/>
          <w:szCs w:val="24"/>
          <w:u w:val="single"/>
        </w:rPr>
        <w:t>1</w:t>
      </w:r>
      <w:r w:rsidR="00423D25">
        <w:rPr>
          <w:rFonts w:ascii="Arial" w:eastAsia="Calibri" w:hAnsi="Arial" w:cs="Arial"/>
          <w:b/>
          <w:bCs/>
          <w:sz w:val="24"/>
          <w:szCs w:val="24"/>
          <w:u w:val="single"/>
        </w:rPr>
        <w:t>688</w:t>
      </w:r>
      <w:r w:rsidR="003F76CF" w:rsidRPr="001C4456">
        <w:rPr>
          <w:rFonts w:ascii="Arial" w:eastAsia="Calibri" w:hAnsi="Arial" w:cs="Arial"/>
          <w:b/>
          <w:bCs/>
          <w:sz w:val="24"/>
          <w:szCs w:val="24"/>
          <w:u w:val="single"/>
        </w:rPr>
        <w:t>) naturales</w:t>
      </w:r>
      <w:r w:rsidR="003F76CF" w:rsidRPr="001C4456">
        <w:rPr>
          <w:rFonts w:ascii="Arial" w:eastAsia="Calibri" w:hAnsi="Arial" w:cs="Arial"/>
          <w:sz w:val="24"/>
          <w:szCs w:val="24"/>
        </w:rPr>
        <w:t>,</w:t>
      </w:r>
      <w:r w:rsidR="00E45DBD" w:rsidRPr="00CB6809">
        <w:rPr>
          <w:rFonts w:ascii="Arial" w:eastAsia="Calibri" w:hAnsi="Arial" w:cs="Arial"/>
          <w:sz w:val="24"/>
          <w:szCs w:val="24"/>
        </w:rPr>
        <w:t xml:space="preserve"> sin que se advierta que en dicho período la parte actora</w:t>
      </w:r>
      <w:r w:rsidR="005917DB">
        <w:rPr>
          <w:rFonts w:ascii="Arial" w:eastAsia="Calibri" w:hAnsi="Arial" w:cs="Arial"/>
          <w:sz w:val="24"/>
          <w:szCs w:val="24"/>
        </w:rPr>
        <w:t xml:space="preserve"> </w:t>
      </w:r>
      <w:r w:rsidR="00E45DBD" w:rsidRPr="00CB6809">
        <w:rPr>
          <w:rFonts w:ascii="Arial" w:eastAsia="Calibri" w:hAnsi="Arial" w:cs="Arial"/>
          <w:sz w:val="24"/>
          <w:szCs w:val="24"/>
        </w:rPr>
        <w:t xml:space="preserve">haya </w:t>
      </w:r>
      <w:r w:rsidR="003D20C1">
        <w:rPr>
          <w:rFonts w:ascii="Arial" w:eastAsia="Calibri" w:hAnsi="Arial" w:cs="Arial"/>
          <w:sz w:val="24"/>
          <w:szCs w:val="24"/>
        </w:rPr>
        <w:t>presentado</w:t>
      </w:r>
      <w:r w:rsidR="003D20C1" w:rsidRPr="00CB6809">
        <w:rPr>
          <w:rFonts w:ascii="Arial" w:eastAsia="Calibri" w:hAnsi="Arial" w:cs="Arial"/>
          <w:sz w:val="24"/>
          <w:szCs w:val="24"/>
        </w:rPr>
        <w:t xml:space="preserve"> </w:t>
      </w:r>
      <w:r w:rsidR="00E45DBD" w:rsidRPr="00CB6809">
        <w:rPr>
          <w:rFonts w:ascii="Arial" w:eastAsia="Calibri" w:hAnsi="Arial" w:cs="Arial"/>
          <w:sz w:val="24"/>
          <w:szCs w:val="24"/>
        </w:rPr>
        <w:t>promoción tend</w:t>
      </w:r>
      <w:r w:rsidR="00512C49">
        <w:rPr>
          <w:rFonts w:ascii="Arial" w:eastAsia="Calibri" w:hAnsi="Arial" w:cs="Arial"/>
          <w:sz w:val="24"/>
          <w:szCs w:val="24"/>
        </w:rPr>
        <w:t>i</w:t>
      </w:r>
      <w:r w:rsidR="00E45DBD" w:rsidRPr="00CB6809">
        <w:rPr>
          <w:rFonts w:ascii="Arial" w:eastAsia="Calibri" w:hAnsi="Arial" w:cs="Arial"/>
          <w:sz w:val="24"/>
          <w:szCs w:val="24"/>
        </w:rPr>
        <w:t>ente a que este Tribunal continuará la secuela procesal</w:t>
      </w:r>
      <w:r w:rsidR="003D20C1">
        <w:rPr>
          <w:rFonts w:ascii="Arial" w:eastAsia="Calibri" w:hAnsi="Arial" w:cs="Arial"/>
          <w:sz w:val="24"/>
          <w:szCs w:val="24"/>
        </w:rPr>
        <w:t xml:space="preserve"> del presente juicio</w:t>
      </w:r>
      <w:r w:rsidR="00E45DBD" w:rsidRPr="00CB6809">
        <w:rPr>
          <w:rFonts w:ascii="Arial" w:eastAsia="Calibri" w:hAnsi="Arial" w:cs="Arial"/>
          <w:sz w:val="24"/>
          <w:szCs w:val="24"/>
        </w:rPr>
        <w:t>, o sin que se hubiese celebrado acto procesal alguno, por lo que se actualiza la causal de sobreseimiento de estudio, toda vez, que se considera un desin</w:t>
      </w:r>
      <w:r w:rsidR="001C4456">
        <w:rPr>
          <w:rFonts w:ascii="Arial" w:eastAsia="Calibri" w:hAnsi="Arial" w:cs="Arial"/>
          <w:sz w:val="24"/>
          <w:szCs w:val="24"/>
        </w:rPr>
        <w:t xml:space="preserve">terés tácito de la parte actora </w:t>
      </w:r>
      <w:r w:rsidR="00A374C8">
        <w:rPr>
          <w:rFonts w:ascii="Arial" w:eastAsia="Calibri" w:hAnsi="Arial" w:cs="Arial"/>
          <w:b/>
          <w:sz w:val="24"/>
          <w:szCs w:val="24"/>
        </w:rPr>
        <w:t>**** **** **** ****</w:t>
      </w:r>
      <w:r w:rsidR="00423D25">
        <w:rPr>
          <w:rFonts w:ascii="Arial" w:eastAsia="Calibri" w:hAnsi="Arial" w:cs="Arial"/>
          <w:b/>
          <w:sz w:val="24"/>
          <w:szCs w:val="24"/>
        </w:rPr>
        <w:t xml:space="preserve"> </w:t>
      </w:r>
      <w:r w:rsidR="00423D25" w:rsidRPr="00D36C4C">
        <w:rPr>
          <w:rFonts w:ascii="Arial" w:eastAsia="Calibri" w:hAnsi="Arial" w:cs="Arial"/>
          <w:sz w:val="24"/>
          <w:szCs w:val="24"/>
        </w:rPr>
        <w:t>en su carácter de representante legal de la empresa</w:t>
      </w:r>
      <w:r w:rsidR="00423D25">
        <w:rPr>
          <w:rFonts w:ascii="Arial" w:eastAsia="Calibri" w:hAnsi="Arial" w:cs="Arial"/>
          <w:b/>
          <w:sz w:val="24"/>
          <w:szCs w:val="24"/>
        </w:rPr>
        <w:t xml:space="preserve"> CADENA COMERCIAL OXXO, SOCIEDAD ANÓNIMA DE CAPITAL VARIABLE</w:t>
      </w:r>
      <w:r w:rsidR="00423D25" w:rsidRPr="00B73A09">
        <w:rPr>
          <w:rFonts w:ascii="Arial" w:eastAsia="Calibri" w:hAnsi="Arial" w:cs="Arial"/>
          <w:sz w:val="24"/>
          <w:szCs w:val="24"/>
        </w:rPr>
        <w:t>,</w:t>
      </w:r>
      <w:r w:rsidR="003F76CF">
        <w:rPr>
          <w:rFonts w:ascii="Arial" w:eastAsia="Calibri" w:hAnsi="Arial" w:cs="Arial"/>
          <w:b/>
          <w:bCs/>
          <w:sz w:val="24"/>
          <w:szCs w:val="24"/>
        </w:rPr>
        <w:t xml:space="preserve"> </w:t>
      </w:r>
      <w:r w:rsidR="00E45DBD"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sidR="00C56260">
        <w:rPr>
          <w:rFonts w:ascii="Arial" w:eastAsia="Calibri" w:hAnsi="Arial" w:cs="Arial"/>
          <w:sz w:val="24"/>
          <w:szCs w:val="24"/>
        </w:rPr>
        <w:t xml:space="preserve"> </w:t>
      </w:r>
      <w:r w:rsidR="00423D25">
        <w:rPr>
          <w:rFonts w:ascii="Arial" w:eastAsia="Calibri" w:hAnsi="Arial" w:cs="Arial"/>
          <w:sz w:val="24"/>
          <w:szCs w:val="24"/>
        </w:rPr>
        <w:t xml:space="preserve">- - - - - - - - </w:t>
      </w:r>
      <w:r w:rsidR="00EA3B5F">
        <w:rPr>
          <w:rFonts w:ascii="Arial" w:eastAsia="Calibri" w:hAnsi="Arial" w:cs="Arial"/>
          <w:sz w:val="24"/>
          <w:szCs w:val="24"/>
        </w:rPr>
        <w:t xml:space="preserve">- </w:t>
      </w:r>
      <w:r w:rsidR="00936A2C">
        <w:rPr>
          <w:rFonts w:ascii="Arial" w:eastAsia="Calibri" w:hAnsi="Arial" w:cs="Arial"/>
          <w:sz w:val="24"/>
          <w:szCs w:val="24"/>
        </w:rPr>
        <w:t xml:space="preserve">- - - - - - - - - - - </w:t>
      </w:r>
      <w:r w:rsidR="0056488A">
        <w:rPr>
          <w:rFonts w:ascii="Arial" w:eastAsia="Calibri" w:hAnsi="Arial" w:cs="Arial"/>
          <w:sz w:val="24"/>
          <w:szCs w:val="24"/>
        </w:rPr>
        <w:t>- - - - - - - -</w:t>
      </w:r>
      <w:r w:rsidR="00C038F7">
        <w:rPr>
          <w:rFonts w:ascii="Arial" w:eastAsia="Calibri" w:hAnsi="Arial" w:cs="Arial"/>
          <w:sz w:val="24"/>
          <w:szCs w:val="24"/>
        </w:rPr>
        <w:t xml:space="preserve"> - - - </w:t>
      </w:r>
      <w:bookmarkEnd w:id="1"/>
      <w:r w:rsidR="001B62CD">
        <w:rPr>
          <w:rFonts w:ascii="Arial" w:eastAsia="Calibri" w:hAnsi="Arial" w:cs="Arial"/>
          <w:sz w:val="24"/>
          <w:szCs w:val="24"/>
        </w:rPr>
        <w:t xml:space="preserve">- </w:t>
      </w:r>
      <w:r w:rsidR="0077682B" w:rsidRPr="00844694">
        <w:rPr>
          <w:rFonts w:ascii="Arial" w:eastAsia="Calibri" w:hAnsi="Arial" w:cs="Arial"/>
          <w:sz w:val="24"/>
          <w:szCs w:val="24"/>
        </w:rPr>
        <w:t xml:space="preserve">Con el fin de ilustrar </w:t>
      </w:r>
      <w:r w:rsidR="0077682B">
        <w:rPr>
          <w:rFonts w:ascii="Arial" w:eastAsia="Calibri" w:hAnsi="Arial" w:cs="Arial"/>
          <w:sz w:val="24"/>
          <w:szCs w:val="24"/>
        </w:rPr>
        <w:t xml:space="preserve">el transcurso de los cien días naturales aducidos </w:t>
      </w:r>
      <w:r w:rsidR="0077682B" w:rsidRPr="00844694">
        <w:rPr>
          <w:rFonts w:ascii="Arial" w:eastAsia="Calibri" w:hAnsi="Arial" w:cs="Arial"/>
          <w:sz w:val="24"/>
          <w:szCs w:val="24"/>
        </w:rPr>
        <w:t xml:space="preserve">para </w:t>
      </w:r>
      <w:r w:rsidR="0077682B">
        <w:rPr>
          <w:rFonts w:ascii="Arial" w:eastAsia="Calibri" w:hAnsi="Arial" w:cs="Arial"/>
          <w:sz w:val="24"/>
          <w:szCs w:val="24"/>
        </w:rPr>
        <w:t>que opere el sobreseimiento</w:t>
      </w:r>
      <w:r w:rsidR="0077682B" w:rsidRPr="00844694">
        <w:rPr>
          <w:rFonts w:ascii="Arial" w:eastAsia="Calibri" w:hAnsi="Arial" w:cs="Arial"/>
          <w:sz w:val="24"/>
          <w:szCs w:val="24"/>
        </w:rPr>
        <w:t>, se procede a mostrar el siguiente cuadro:</w:t>
      </w:r>
      <w:r w:rsidR="0077682B">
        <w:rPr>
          <w:rFonts w:ascii="Arial" w:eastAsia="Calibri" w:hAnsi="Arial" w:cs="Arial"/>
          <w:sz w:val="24"/>
          <w:szCs w:val="24"/>
        </w:rPr>
        <w:t>- - - - - -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8"/>
        <w:gridCol w:w="2091"/>
        <w:gridCol w:w="1990"/>
        <w:gridCol w:w="2551"/>
      </w:tblGrid>
      <w:tr w:rsidR="0077682B" w:rsidRPr="00DE1E40" w14:paraId="7F3AA842" w14:textId="77777777" w:rsidTr="0031290A">
        <w:tc>
          <w:tcPr>
            <w:tcW w:w="1858" w:type="dxa"/>
          </w:tcPr>
          <w:p w14:paraId="047E9D3C" w14:textId="77777777" w:rsidR="0077682B" w:rsidRDefault="0077682B" w:rsidP="0031290A">
            <w:pPr>
              <w:jc w:val="center"/>
              <w:rPr>
                <w:b/>
              </w:rPr>
            </w:pPr>
            <w:r w:rsidRPr="00DE1E40">
              <w:rPr>
                <w:b/>
              </w:rPr>
              <w:t>Fecha del último acto procesal</w:t>
            </w:r>
          </w:p>
          <w:p w14:paraId="0862B9C0" w14:textId="77777777" w:rsidR="0077682B" w:rsidRPr="00DE1E40" w:rsidRDefault="0077682B" w:rsidP="0031290A">
            <w:pPr>
              <w:jc w:val="center"/>
              <w:rPr>
                <w:b/>
              </w:rPr>
            </w:pPr>
          </w:p>
        </w:tc>
        <w:tc>
          <w:tcPr>
            <w:tcW w:w="2091" w:type="dxa"/>
          </w:tcPr>
          <w:p w14:paraId="4E7CC202" w14:textId="77777777" w:rsidR="0077682B" w:rsidRPr="00DE1E40" w:rsidRDefault="0077682B" w:rsidP="0031290A">
            <w:pPr>
              <w:jc w:val="center"/>
              <w:rPr>
                <w:b/>
              </w:rPr>
            </w:pPr>
            <w:r w:rsidRPr="00DE1E40">
              <w:rPr>
                <w:b/>
              </w:rPr>
              <w:t>100 días naturales transcurridos</w:t>
            </w:r>
          </w:p>
        </w:tc>
        <w:tc>
          <w:tcPr>
            <w:tcW w:w="1990" w:type="dxa"/>
          </w:tcPr>
          <w:p w14:paraId="232B969A" w14:textId="77777777" w:rsidR="0077682B" w:rsidRPr="00DE1E40" w:rsidRDefault="0077682B" w:rsidP="0031290A">
            <w:pPr>
              <w:jc w:val="center"/>
              <w:rPr>
                <w:b/>
              </w:rPr>
            </w:pPr>
            <w:r w:rsidRPr="00DE1E40">
              <w:rPr>
                <w:b/>
              </w:rPr>
              <w:t xml:space="preserve">Fecha </w:t>
            </w:r>
            <w:r>
              <w:rPr>
                <w:b/>
              </w:rPr>
              <w:t>que se actualizó</w:t>
            </w:r>
            <w:r w:rsidRPr="00DE1E40">
              <w:rPr>
                <w:b/>
              </w:rPr>
              <w:t xml:space="preserve"> el sobreseimiento</w:t>
            </w:r>
          </w:p>
        </w:tc>
        <w:tc>
          <w:tcPr>
            <w:tcW w:w="2551" w:type="dxa"/>
          </w:tcPr>
          <w:p w14:paraId="5A3D5D8C" w14:textId="66EB879E" w:rsidR="0077682B" w:rsidRPr="00DE1E40" w:rsidRDefault="0077682B" w:rsidP="00423D25">
            <w:pPr>
              <w:jc w:val="center"/>
              <w:rPr>
                <w:b/>
              </w:rPr>
            </w:pPr>
            <w:r w:rsidRPr="00DE1E40">
              <w:rPr>
                <w:b/>
              </w:rPr>
              <w:t xml:space="preserve">Días transcurridos al </w:t>
            </w:r>
            <w:r w:rsidR="00423D25">
              <w:rPr>
                <w:b/>
              </w:rPr>
              <w:t>25</w:t>
            </w:r>
            <w:r w:rsidR="001B62CD">
              <w:rPr>
                <w:b/>
              </w:rPr>
              <w:t xml:space="preserve"> de junio </w:t>
            </w:r>
            <w:r w:rsidRPr="00DE1E40">
              <w:rPr>
                <w:b/>
              </w:rPr>
              <w:t>de 2024</w:t>
            </w:r>
          </w:p>
        </w:tc>
      </w:tr>
      <w:tr w:rsidR="0077682B" w:rsidRPr="00DE1E40" w14:paraId="38B891BB" w14:textId="77777777" w:rsidTr="0031290A">
        <w:trPr>
          <w:trHeight w:val="878"/>
        </w:trPr>
        <w:tc>
          <w:tcPr>
            <w:tcW w:w="1858" w:type="dxa"/>
          </w:tcPr>
          <w:p w14:paraId="0855FB78" w14:textId="1DD3E88E" w:rsidR="0077682B" w:rsidRPr="00DE1E40" w:rsidRDefault="00423D25" w:rsidP="00423D25">
            <w:pPr>
              <w:jc w:val="center"/>
              <w:rPr>
                <w:bCs/>
                <w:sz w:val="22"/>
                <w:szCs w:val="22"/>
              </w:rPr>
            </w:pPr>
            <w:r>
              <w:rPr>
                <w:bCs/>
                <w:sz w:val="22"/>
                <w:szCs w:val="22"/>
              </w:rPr>
              <w:t xml:space="preserve">11 de noviembre </w:t>
            </w:r>
            <w:r w:rsidR="00D10E49">
              <w:rPr>
                <w:bCs/>
                <w:sz w:val="22"/>
                <w:szCs w:val="22"/>
              </w:rPr>
              <w:t xml:space="preserve">de </w:t>
            </w:r>
            <w:r w:rsidR="001B62CD">
              <w:rPr>
                <w:bCs/>
                <w:sz w:val="22"/>
                <w:szCs w:val="22"/>
              </w:rPr>
              <w:t>20</w:t>
            </w:r>
            <w:r>
              <w:rPr>
                <w:bCs/>
                <w:sz w:val="22"/>
                <w:szCs w:val="22"/>
              </w:rPr>
              <w:t>19</w:t>
            </w:r>
          </w:p>
        </w:tc>
        <w:tc>
          <w:tcPr>
            <w:tcW w:w="2091" w:type="dxa"/>
          </w:tcPr>
          <w:p w14:paraId="659CD813" w14:textId="6ECB8CF9" w:rsidR="0077682B" w:rsidRPr="00DE1E40" w:rsidRDefault="00423D25" w:rsidP="001B62CD">
            <w:pPr>
              <w:jc w:val="center"/>
              <w:rPr>
                <w:sz w:val="22"/>
                <w:szCs w:val="22"/>
              </w:rPr>
            </w:pPr>
            <w:r>
              <w:rPr>
                <w:sz w:val="22"/>
                <w:szCs w:val="22"/>
              </w:rPr>
              <w:t xml:space="preserve">19 de febrero </w:t>
            </w:r>
            <w:r w:rsidR="00D10E49">
              <w:rPr>
                <w:sz w:val="22"/>
                <w:szCs w:val="22"/>
              </w:rPr>
              <w:t xml:space="preserve">de </w:t>
            </w:r>
            <w:r>
              <w:rPr>
                <w:sz w:val="22"/>
                <w:szCs w:val="22"/>
              </w:rPr>
              <w:t>2020</w:t>
            </w:r>
          </w:p>
        </w:tc>
        <w:tc>
          <w:tcPr>
            <w:tcW w:w="1990" w:type="dxa"/>
          </w:tcPr>
          <w:p w14:paraId="4D1A348E" w14:textId="209AB890" w:rsidR="0077682B" w:rsidRPr="00DE1E40" w:rsidRDefault="00D10E49" w:rsidP="00423D25">
            <w:pPr>
              <w:jc w:val="center"/>
              <w:rPr>
                <w:sz w:val="22"/>
                <w:szCs w:val="22"/>
              </w:rPr>
            </w:pPr>
            <w:r>
              <w:rPr>
                <w:sz w:val="22"/>
                <w:szCs w:val="22"/>
              </w:rPr>
              <w:t xml:space="preserve"> </w:t>
            </w:r>
            <w:r w:rsidR="001B62CD">
              <w:rPr>
                <w:sz w:val="22"/>
                <w:szCs w:val="22"/>
              </w:rPr>
              <w:t>2</w:t>
            </w:r>
            <w:r w:rsidR="00423D25">
              <w:rPr>
                <w:sz w:val="22"/>
                <w:szCs w:val="22"/>
              </w:rPr>
              <w:t>0</w:t>
            </w:r>
            <w:r w:rsidR="001B62CD">
              <w:rPr>
                <w:sz w:val="22"/>
                <w:szCs w:val="22"/>
              </w:rPr>
              <w:t xml:space="preserve"> </w:t>
            </w:r>
            <w:r w:rsidR="009958B3">
              <w:rPr>
                <w:sz w:val="22"/>
                <w:szCs w:val="22"/>
              </w:rPr>
              <w:t xml:space="preserve">de </w:t>
            </w:r>
            <w:r w:rsidR="00423D25">
              <w:rPr>
                <w:sz w:val="22"/>
                <w:szCs w:val="22"/>
              </w:rPr>
              <w:t xml:space="preserve">febrero </w:t>
            </w:r>
            <w:r w:rsidR="00B73A09">
              <w:rPr>
                <w:sz w:val="22"/>
                <w:szCs w:val="22"/>
              </w:rPr>
              <w:t>de</w:t>
            </w:r>
            <w:r>
              <w:rPr>
                <w:sz w:val="22"/>
                <w:szCs w:val="22"/>
              </w:rPr>
              <w:t xml:space="preserve"> </w:t>
            </w:r>
            <w:r w:rsidR="00E65D30">
              <w:rPr>
                <w:sz w:val="22"/>
                <w:szCs w:val="22"/>
              </w:rPr>
              <w:t>2020</w:t>
            </w:r>
          </w:p>
        </w:tc>
        <w:tc>
          <w:tcPr>
            <w:tcW w:w="2551" w:type="dxa"/>
          </w:tcPr>
          <w:p w14:paraId="015F1BC2" w14:textId="23B918E7" w:rsidR="0077682B" w:rsidRPr="00DE1E40" w:rsidRDefault="001B62CD" w:rsidP="00C038F7">
            <w:pPr>
              <w:jc w:val="center"/>
              <w:rPr>
                <w:sz w:val="22"/>
                <w:szCs w:val="22"/>
              </w:rPr>
            </w:pPr>
            <w:r>
              <w:rPr>
                <w:sz w:val="22"/>
                <w:szCs w:val="22"/>
              </w:rPr>
              <w:t>1</w:t>
            </w:r>
            <w:r w:rsidR="00423D25">
              <w:rPr>
                <w:sz w:val="22"/>
                <w:szCs w:val="22"/>
              </w:rPr>
              <w:t>688</w:t>
            </w:r>
            <w:r w:rsidR="008654A4">
              <w:rPr>
                <w:sz w:val="22"/>
                <w:szCs w:val="22"/>
              </w:rPr>
              <w:t xml:space="preserve"> </w:t>
            </w:r>
            <w:r w:rsidR="0010551C">
              <w:rPr>
                <w:sz w:val="22"/>
                <w:szCs w:val="22"/>
              </w:rPr>
              <w:t>días</w:t>
            </w:r>
          </w:p>
        </w:tc>
      </w:tr>
    </w:tbl>
    <w:p w14:paraId="1BBB8BE1" w14:textId="5E06F193" w:rsidR="0077682B" w:rsidRDefault="0077682B" w:rsidP="00955A9C">
      <w:pPr>
        <w:tabs>
          <w:tab w:val="left" w:pos="195"/>
          <w:tab w:val="left" w:pos="8172"/>
        </w:tabs>
        <w:spacing w:after="200" w:line="360" w:lineRule="auto"/>
        <w:rPr>
          <w:rFonts w:ascii="Arial" w:eastAsia="Calibri" w:hAnsi="Arial" w:cs="Arial"/>
          <w:sz w:val="24"/>
          <w:szCs w:val="24"/>
        </w:rPr>
      </w:pPr>
    </w:p>
    <w:p w14:paraId="43BAFA32" w14:textId="59AD909E" w:rsidR="00351456" w:rsidRPr="00526202" w:rsidRDefault="002B1CBE" w:rsidP="003A62D8">
      <w:pPr>
        <w:tabs>
          <w:tab w:val="left" w:pos="8172"/>
        </w:tabs>
        <w:spacing w:after="200" w:line="360" w:lineRule="auto"/>
        <w:contextualSpacing/>
        <w:jc w:val="both"/>
        <w:rPr>
          <w:rFonts w:ascii="Arial" w:eastAsia="Calibri" w:hAnsi="Arial" w:cs="Arial"/>
          <w:sz w:val="24"/>
          <w:szCs w:val="24"/>
          <w:lang w:val="es-ES"/>
        </w:rPr>
      </w:pPr>
      <w:r>
        <w:rPr>
          <w:rFonts w:ascii="Arial" w:eastAsia="Calibri" w:hAnsi="Arial" w:cs="Arial"/>
          <w:sz w:val="24"/>
          <w:szCs w:val="24"/>
        </w:rPr>
        <w:t xml:space="preserve">- - - </w:t>
      </w:r>
      <w:r w:rsidR="00E45DBD" w:rsidRPr="00CB6809">
        <w:rPr>
          <w:rFonts w:ascii="Arial" w:hAnsi="Arial" w:cs="Arial"/>
          <w:sz w:val="24"/>
          <w:szCs w:val="24"/>
          <w:lang w:val="es-ES_tradnl"/>
        </w:rPr>
        <w:t>En efecto, el artículo 87</w:t>
      </w:r>
      <w:r w:rsidR="00725373">
        <w:rPr>
          <w:rFonts w:ascii="Arial" w:hAnsi="Arial" w:cs="Arial"/>
          <w:sz w:val="24"/>
          <w:szCs w:val="24"/>
          <w:lang w:val="es-ES_tradnl"/>
        </w:rPr>
        <w:t xml:space="preserve"> </w:t>
      </w:r>
      <w:r w:rsidR="006B4698">
        <w:rPr>
          <w:rFonts w:ascii="Arial" w:hAnsi="Arial" w:cs="Arial"/>
          <w:sz w:val="24"/>
          <w:szCs w:val="24"/>
          <w:lang w:val="es-ES_tradnl"/>
        </w:rPr>
        <w:t>[</w:t>
      </w:r>
      <w:r w:rsidR="00E45DBD" w:rsidRPr="00CB6809">
        <w:rPr>
          <w:rFonts w:ascii="Arial" w:hAnsi="Arial" w:cs="Arial"/>
          <w:sz w:val="24"/>
          <w:szCs w:val="24"/>
          <w:lang w:val="es-ES_tradnl"/>
        </w:rPr>
        <w:t>fracción V</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00E45DBD" w:rsidRPr="00CB6809">
        <w:rPr>
          <w:rFonts w:ascii="Arial" w:hAnsi="Arial" w:cs="Arial"/>
          <w:b/>
          <w:bCs/>
          <w:sz w:val="24"/>
          <w:szCs w:val="24"/>
          <w:lang w:val="es-ES_tradnl"/>
        </w:rPr>
        <w:t>cien días naturales</w:t>
      </w:r>
      <w:r w:rsidR="00E45DBD"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sidR="00D50C1F">
        <w:rPr>
          <w:rFonts w:ascii="Arial" w:eastAsia="Calibri" w:hAnsi="Arial" w:cs="Arial"/>
          <w:sz w:val="24"/>
          <w:szCs w:val="24"/>
          <w:lang w:val="es-ES"/>
        </w:rPr>
        <w:t xml:space="preserve">- - - - - - - - - - - - - - - - - - - - - - - - - - - - </w:t>
      </w:r>
      <w:r w:rsidR="00351456">
        <w:rPr>
          <w:rFonts w:ascii="Arial" w:eastAsia="Calibri" w:hAnsi="Arial" w:cs="Arial"/>
          <w:sz w:val="24"/>
          <w:szCs w:val="24"/>
          <w:lang w:val="es-ES"/>
        </w:rPr>
        <w:t xml:space="preserve">- - - En ese orden de ideas, cabe señalar que, a diferencia de otras legislaciones en las existe la figura o institución jurídica denominada “caducidad de la instancia” como en el Código de Procedimientos Civiles para el Estado de Sonora (aplicado supletoriamente a la Ley de Justicia Administrativa para el </w:t>
      </w:r>
      <w:r w:rsidR="00351456">
        <w:rPr>
          <w:rFonts w:ascii="Arial" w:eastAsia="Calibri" w:hAnsi="Arial" w:cs="Arial"/>
          <w:sz w:val="24"/>
          <w:szCs w:val="24"/>
          <w:lang w:val="es-ES"/>
        </w:rPr>
        <w:lastRenderedPageBreak/>
        <w:t xml:space="preserve">Estado de Sonora) o el Código de Comercio; la </w:t>
      </w:r>
      <w:r w:rsidR="0043298E">
        <w:rPr>
          <w:rFonts w:ascii="Arial" w:eastAsia="Calibri" w:hAnsi="Arial" w:cs="Arial"/>
          <w:sz w:val="24"/>
          <w:szCs w:val="24"/>
          <w:lang w:val="es-ES"/>
        </w:rPr>
        <w:t xml:space="preserve">ley de materia </w:t>
      </w:r>
      <w:r w:rsidR="00351456">
        <w:rPr>
          <w:rFonts w:ascii="Arial" w:eastAsia="Calibri" w:hAnsi="Arial" w:cs="Arial"/>
          <w:sz w:val="24"/>
          <w:szCs w:val="24"/>
          <w:lang w:val="es-ES"/>
        </w:rPr>
        <w:t>prevé la causal de sobreseimiento por una inactividad general del proceso,</w:t>
      </w:r>
      <w:r w:rsidR="0043298E">
        <w:rPr>
          <w:rFonts w:ascii="Arial" w:eastAsia="Calibri" w:hAnsi="Arial" w:cs="Arial"/>
          <w:sz w:val="24"/>
          <w:szCs w:val="24"/>
          <w:lang w:val="es-ES"/>
        </w:rPr>
        <w:t xml:space="preserve"> situación que aunque </w:t>
      </w:r>
      <w:r w:rsidR="00546ED9">
        <w:rPr>
          <w:rFonts w:ascii="Arial" w:eastAsia="Calibri" w:hAnsi="Arial" w:cs="Arial"/>
          <w:sz w:val="24"/>
          <w:szCs w:val="24"/>
          <w:lang w:val="es-ES"/>
        </w:rPr>
        <w:t>tiene</w:t>
      </w:r>
      <w:r w:rsidR="0043298E">
        <w:rPr>
          <w:rFonts w:ascii="Arial" w:eastAsia="Calibri" w:hAnsi="Arial" w:cs="Arial"/>
          <w:sz w:val="24"/>
          <w:szCs w:val="24"/>
          <w:lang w:val="es-ES"/>
        </w:rPr>
        <w:t xml:space="preserve"> un efecto similar o equivalente a la caducidad</w:t>
      </w:r>
      <w:r w:rsidR="00546ED9">
        <w:rPr>
          <w:rFonts w:ascii="Arial" w:eastAsia="Calibri" w:hAnsi="Arial" w:cs="Arial"/>
          <w:sz w:val="24"/>
          <w:szCs w:val="24"/>
          <w:lang w:val="es-ES"/>
        </w:rPr>
        <w:t>,</w:t>
      </w:r>
      <w:r w:rsidR="0043298E">
        <w:rPr>
          <w:rFonts w:ascii="Arial" w:eastAsia="Calibri" w:hAnsi="Arial" w:cs="Arial"/>
          <w:sz w:val="24"/>
          <w:szCs w:val="24"/>
          <w:lang w:val="es-ES"/>
        </w:rPr>
        <w:t xml:space="preserve"> </w:t>
      </w:r>
      <w:r w:rsidR="00546ED9">
        <w:rPr>
          <w:rFonts w:ascii="Arial" w:eastAsia="Calibri" w:hAnsi="Arial" w:cs="Arial"/>
          <w:sz w:val="24"/>
          <w:szCs w:val="24"/>
          <w:lang w:val="es-ES"/>
        </w:rPr>
        <w:t xml:space="preserve">en realidad </w:t>
      </w:r>
      <w:r w:rsidR="0043298E">
        <w:rPr>
          <w:rFonts w:ascii="Arial" w:eastAsia="Calibri" w:hAnsi="Arial" w:cs="Arial"/>
          <w:sz w:val="24"/>
          <w:szCs w:val="24"/>
          <w:lang w:val="es-ES"/>
        </w:rPr>
        <w:t>comprende supuesto</w:t>
      </w:r>
      <w:r w:rsidR="00546ED9">
        <w:rPr>
          <w:rFonts w:ascii="Arial" w:eastAsia="Calibri" w:hAnsi="Arial" w:cs="Arial"/>
          <w:sz w:val="24"/>
          <w:szCs w:val="24"/>
          <w:lang w:val="es-ES"/>
        </w:rPr>
        <w:t>s</w:t>
      </w:r>
      <w:r w:rsidR="0043298E">
        <w:rPr>
          <w:rFonts w:ascii="Arial" w:eastAsia="Calibri" w:hAnsi="Arial" w:cs="Arial"/>
          <w:sz w:val="24"/>
          <w:szCs w:val="24"/>
          <w:lang w:val="es-ES"/>
        </w:rPr>
        <w:t xml:space="preserve"> y elementos distintos</w:t>
      </w:r>
      <w:r w:rsidR="00546ED9">
        <w:rPr>
          <w:rFonts w:ascii="Arial" w:eastAsia="Calibri" w:hAnsi="Arial" w:cs="Arial"/>
          <w:sz w:val="24"/>
          <w:szCs w:val="24"/>
          <w:lang w:val="es-ES"/>
        </w:rPr>
        <w:t xml:space="preserve">, por lo que no puede decirse que la llamada caducidad pueda hacerse extensiva a la ley administrativa estadual, pues además de no ser compatible, la supletoriedad </w:t>
      </w:r>
      <w:r w:rsidR="00E855B0">
        <w:rPr>
          <w:rFonts w:ascii="Arial" w:eastAsia="Calibri" w:hAnsi="Arial" w:cs="Arial"/>
          <w:sz w:val="24"/>
          <w:szCs w:val="24"/>
          <w:lang w:val="es-ES"/>
        </w:rPr>
        <w:t xml:space="preserve">considerada para el código procesal civil </w:t>
      </w:r>
      <w:r w:rsidR="00546ED9">
        <w:rPr>
          <w:rFonts w:ascii="Arial" w:eastAsia="Calibri" w:hAnsi="Arial" w:cs="Arial"/>
          <w:sz w:val="24"/>
          <w:szCs w:val="24"/>
          <w:lang w:val="es-ES"/>
        </w:rPr>
        <w:t>no puede llegar al grado de variar una regulación concreta que no encuentra deficiencia en su conformación</w:t>
      </w:r>
      <w:r w:rsidR="00E855B0">
        <w:rPr>
          <w:rFonts w:ascii="Arial" w:eastAsia="Calibri" w:hAnsi="Arial" w:cs="Arial"/>
          <w:sz w:val="24"/>
          <w:szCs w:val="24"/>
          <w:lang w:val="es-ES"/>
        </w:rPr>
        <w:t xml:space="preserve"> pues la Ley de Justicia Administrativa dispone en el multicitado artículo 87 [fracción V] que el sobreseimiento cuando </w:t>
      </w:r>
      <w:r w:rsidR="00E855B0" w:rsidRPr="002933A2">
        <w:rPr>
          <w:rFonts w:ascii="Arial" w:eastAsia="Calibri" w:hAnsi="Arial" w:cs="Arial"/>
          <w:i/>
          <w:iCs/>
          <w:sz w:val="24"/>
          <w:szCs w:val="24"/>
          <w:lang w:val="es-ES"/>
        </w:rPr>
        <w:t xml:space="preserve">“No se haya efectuado ningún acto procesal durante el término de cien días </w:t>
      </w:r>
      <w:r w:rsidR="00E855B0" w:rsidRPr="002933A2">
        <w:rPr>
          <w:rFonts w:ascii="Arial" w:eastAsia="Calibri" w:hAnsi="Arial" w:cs="Arial"/>
          <w:sz w:val="24"/>
          <w:szCs w:val="24"/>
          <w:lang w:val="es-ES"/>
        </w:rPr>
        <w:t>naturales</w:t>
      </w:r>
      <w:r w:rsidR="00E855B0" w:rsidRPr="00E855B0">
        <w:rPr>
          <w:rFonts w:ascii="Arial" w:eastAsia="Calibri" w:hAnsi="Arial" w:cs="Arial"/>
          <w:sz w:val="24"/>
          <w:szCs w:val="24"/>
          <w:lang w:val="es-ES"/>
        </w:rPr>
        <w:t xml:space="preserve"> (…)”</w:t>
      </w:r>
      <w:r w:rsidR="00E855B0">
        <w:rPr>
          <w:rFonts w:ascii="Arial" w:eastAsia="Calibri" w:hAnsi="Arial" w:cs="Arial"/>
          <w:sz w:val="24"/>
          <w:szCs w:val="24"/>
          <w:lang w:val="es-ES"/>
        </w:rPr>
        <w:t xml:space="preserve">; siendo que al respecto es importante hacer hincapié en el alcance y significación de la expresión “acto procesal” el cual, se ha descrito como la </w:t>
      </w:r>
      <w:r w:rsidR="00E855B0" w:rsidRPr="002933A2">
        <w:rPr>
          <w:rFonts w:ascii="Arial" w:eastAsia="Calibri" w:hAnsi="Arial" w:cs="Arial"/>
          <w:i/>
          <w:iCs/>
          <w:sz w:val="24"/>
          <w:szCs w:val="24"/>
          <w:lang w:val="es-ES"/>
        </w:rPr>
        <w:t>“Actuación producida en el seno del proceso judicial, fundamentalmente de carácter oral, por impulso del juez o tribunal, o a iniciativa de las partes, ya se trate de vistas, declaraciones, interrogatorios, testimonios, careos, exploraciones, informes, ratificación de los informes periciales, etc.”</w:t>
      </w:r>
      <w:r w:rsidR="00E855B0">
        <w:rPr>
          <w:rFonts w:ascii="Arial" w:eastAsia="Calibri" w:hAnsi="Arial" w:cs="Arial"/>
          <w:sz w:val="24"/>
          <w:szCs w:val="24"/>
          <w:lang w:val="es-ES"/>
        </w:rPr>
        <w:t>; como el</w:t>
      </w:r>
      <w:r w:rsidR="00E855B0" w:rsidRPr="002933A2">
        <w:rPr>
          <w:rFonts w:ascii="Arial" w:eastAsia="Calibri" w:hAnsi="Arial" w:cs="Arial"/>
          <w:sz w:val="24"/>
          <w:szCs w:val="24"/>
          <w:lang w:val="es-ES"/>
        </w:rPr>
        <w:t xml:space="preserve"> </w:t>
      </w:r>
      <w:r w:rsidR="00E855B0" w:rsidRPr="002933A2">
        <w:rPr>
          <w:rFonts w:ascii="Arial" w:eastAsia="Calibri" w:hAnsi="Arial" w:cs="Arial"/>
          <w:i/>
          <w:iCs/>
          <w:sz w:val="24"/>
          <w:szCs w:val="24"/>
          <w:lang w:val="es-ES"/>
        </w:rPr>
        <w:t>“Acto jurídico realizado por las partes (públicas o privadas) o el juez (o en su caso, el tribunal) en el proceso, que tiene efectos en la relación jurídica procesal</w:t>
      </w:r>
      <w:r w:rsidR="00E855B0" w:rsidRPr="002933A2">
        <w:rPr>
          <w:rStyle w:val="FootnoteReference"/>
          <w:rFonts w:ascii="Arial" w:eastAsia="Calibri" w:hAnsi="Arial" w:cs="Arial"/>
          <w:i/>
          <w:iCs/>
          <w:sz w:val="24"/>
          <w:szCs w:val="24"/>
          <w:lang w:val="es-ES"/>
        </w:rPr>
        <w:footnoteReference w:id="1"/>
      </w:r>
      <w:r w:rsidR="00E855B0" w:rsidRPr="002933A2">
        <w:rPr>
          <w:rFonts w:ascii="Arial" w:eastAsia="Calibri" w:hAnsi="Arial" w:cs="Arial"/>
          <w:i/>
          <w:iCs/>
          <w:sz w:val="24"/>
          <w:szCs w:val="24"/>
          <w:lang w:val="es-ES"/>
        </w:rPr>
        <w:t>”</w:t>
      </w:r>
      <w:r w:rsidR="00E855B0">
        <w:rPr>
          <w:rFonts w:ascii="Arial" w:eastAsia="Calibri" w:hAnsi="Arial" w:cs="Arial"/>
          <w:sz w:val="24"/>
          <w:szCs w:val="24"/>
          <w:lang w:val="es-ES"/>
        </w:rPr>
        <w:t xml:space="preserve"> o bien como </w:t>
      </w:r>
      <w:r w:rsidR="00E855B0" w:rsidRPr="002933A2">
        <w:rPr>
          <w:rFonts w:ascii="Arial" w:eastAsia="Calibri" w:hAnsi="Arial" w:cs="Arial"/>
          <w:i/>
          <w:iCs/>
          <w:sz w:val="24"/>
          <w:szCs w:val="24"/>
          <w:lang w:val="es-ES"/>
        </w:rPr>
        <w:t>“El acto jurídico emanado de las partes, de los </w:t>
      </w:r>
      <w:hyperlink r:id="rId8" w:history="1">
        <w:r w:rsidR="00E855B0" w:rsidRPr="002933A2">
          <w:rPr>
            <w:rFonts w:ascii="Arial" w:eastAsia="Calibri" w:hAnsi="Arial" w:cs="Arial"/>
            <w:i/>
            <w:iCs/>
            <w:sz w:val="24"/>
            <w:szCs w:val="24"/>
            <w:lang w:val="es-ES"/>
          </w:rPr>
          <w:t>agentes</w:t>
        </w:r>
      </w:hyperlink>
      <w:r w:rsidR="00E855B0" w:rsidRPr="002933A2">
        <w:rPr>
          <w:rFonts w:ascii="Arial" w:eastAsia="Calibri" w:hAnsi="Arial" w:cs="Arial"/>
          <w:i/>
          <w:iCs/>
          <w:sz w:val="24"/>
          <w:szCs w:val="24"/>
          <w:lang w:val="es-ES"/>
        </w:rPr>
        <w:t> de la </w:t>
      </w:r>
      <w:hyperlink r:id="rId9" w:history="1">
        <w:r w:rsidR="00E855B0" w:rsidRPr="002933A2">
          <w:rPr>
            <w:rFonts w:ascii="Arial" w:eastAsia="Calibri" w:hAnsi="Arial" w:cs="Arial"/>
            <w:i/>
            <w:iCs/>
            <w:sz w:val="24"/>
            <w:szCs w:val="24"/>
            <w:lang w:val="es-ES"/>
          </w:rPr>
          <w:t>jurisdicción</w:t>
        </w:r>
      </w:hyperlink>
      <w:r w:rsidR="00E855B0" w:rsidRPr="002933A2">
        <w:rPr>
          <w:rFonts w:ascii="Arial" w:eastAsia="Calibri" w:hAnsi="Arial" w:cs="Arial"/>
          <w:i/>
          <w:iCs/>
          <w:sz w:val="24"/>
          <w:szCs w:val="24"/>
          <w:lang w:val="es-ES"/>
        </w:rPr>
        <w:t> o aun de los </w:t>
      </w:r>
      <w:hyperlink r:id="rId10" w:history="1">
        <w:r w:rsidR="00E855B0" w:rsidRPr="002933A2">
          <w:rPr>
            <w:rFonts w:ascii="Arial" w:eastAsia="Calibri" w:hAnsi="Arial" w:cs="Arial"/>
            <w:i/>
            <w:iCs/>
            <w:sz w:val="24"/>
            <w:szCs w:val="24"/>
            <w:lang w:val="es-ES"/>
          </w:rPr>
          <w:t>terceros</w:t>
        </w:r>
      </w:hyperlink>
      <w:r w:rsidR="00E855B0" w:rsidRPr="002933A2">
        <w:rPr>
          <w:rFonts w:ascii="Arial" w:eastAsia="Calibri" w:hAnsi="Arial" w:cs="Arial"/>
          <w:i/>
          <w:iCs/>
          <w:sz w:val="24"/>
          <w:szCs w:val="24"/>
          <w:lang w:val="es-ES"/>
        </w:rPr>
        <w:t> ligados al proceso, susceptible de crear, modificar o extinguir efectos procesales</w:t>
      </w:r>
      <w:r w:rsidR="00E855B0" w:rsidRPr="002933A2">
        <w:rPr>
          <w:rStyle w:val="FootnoteReference"/>
          <w:rFonts w:ascii="Segoe UI" w:hAnsi="Segoe UI" w:cs="Segoe UI"/>
          <w:i/>
          <w:iCs/>
          <w:color w:val="495057"/>
          <w:shd w:val="clear" w:color="auto" w:fill="FFFFFF"/>
        </w:rPr>
        <w:footnoteReference w:id="2"/>
      </w:r>
      <w:r w:rsidR="00E855B0" w:rsidRPr="002933A2">
        <w:rPr>
          <w:rFonts w:ascii="Arial" w:hAnsi="Arial" w:cs="Arial"/>
          <w:i/>
          <w:iCs/>
          <w:color w:val="495057"/>
          <w:sz w:val="24"/>
          <w:szCs w:val="24"/>
          <w:shd w:val="clear" w:color="auto" w:fill="FFFFFF"/>
        </w:rPr>
        <w:t>”</w:t>
      </w:r>
      <w:r w:rsidR="00E855B0" w:rsidRPr="002933A2">
        <w:rPr>
          <w:rFonts w:ascii="Arial" w:eastAsia="Calibri" w:hAnsi="Arial" w:cs="Arial"/>
          <w:i/>
          <w:iCs/>
          <w:sz w:val="24"/>
          <w:szCs w:val="24"/>
          <w:lang w:val="es-ES"/>
        </w:rPr>
        <w:t xml:space="preserve">. - - - - - - </w:t>
      </w:r>
      <w:r w:rsidR="00AB3CC1">
        <w:rPr>
          <w:rFonts w:ascii="Arial" w:eastAsia="Calibri" w:hAnsi="Arial" w:cs="Arial"/>
          <w:i/>
          <w:iCs/>
          <w:sz w:val="24"/>
          <w:szCs w:val="24"/>
          <w:lang w:val="es-ES"/>
        </w:rPr>
        <w:t xml:space="preserve">- - - - - - - - - - - - - - - - - - - - - - </w:t>
      </w:r>
      <w:r w:rsidR="00AB3CC1" w:rsidRPr="008738CB">
        <w:rPr>
          <w:rFonts w:ascii="Arial" w:eastAsia="Calibri" w:hAnsi="Arial" w:cs="Arial"/>
          <w:sz w:val="24"/>
          <w:szCs w:val="24"/>
          <w:lang w:val="es-ES"/>
        </w:rPr>
        <w:t>- - - De tal suerte que la expresión acto procesal considera cualquier acto jurídico de las partes, por lo que, con independencia de qui</w:t>
      </w:r>
      <w:r w:rsidR="00B565A6" w:rsidRPr="008738CB">
        <w:rPr>
          <w:rFonts w:ascii="Arial" w:eastAsia="Calibri" w:hAnsi="Arial" w:cs="Arial"/>
          <w:sz w:val="24"/>
          <w:szCs w:val="24"/>
          <w:lang w:val="es-ES"/>
        </w:rPr>
        <w:t>é</w:t>
      </w:r>
      <w:r w:rsidR="00AB3CC1" w:rsidRPr="008738CB">
        <w:rPr>
          <w:rFonts w:ascii="Arial" w:eastAsia="Calibri" w:hAnsi="Arial" w:cs="Arial"/>
          <w:sz w:val="24"/>
          <w:szCs w:val="24"/>
          <w:lang w:val="es-ES"/>
        </w:rPr>
        <w:t>n genere el estatismo de un procedimiento, el numeral en cita prevé el transcurso de un tiempo determinado para que opere el sobreseimiento en cuestión</w:t>
      </w:r>
      <w:r w:rsidR="00B565A6" w:rsidRPr="008738CB">
        <w:rPr>
          <w:rFonts w:ascii="Arial" w:eastAsia="Calibri" w:hAnsi="Arial" w:cs="Arial"/>
          <w:sz w:val="24"/>
          <w:szCs w:val="24"/>
          <w:lang w:val="es-ES"/>
        </w:rPr>
        <w:t xml:space="preserve">; y todavía más que las partes tienen expedito su derecho y oportunidad para en todo caso solicitar el impulso del procedimiento, tornándose dicha petición ante la autoridad en un acto procesal en sí mismo. - - - - - - - - - - - - - - - - - - - - - - - - - - - - - - - - - - - - - - - - - - </w:t>
      </w:r>
    </w:p>
    <w:p w14:paraId="487705FD" w14:textId="238BC2C0" w:rsidR="00B869C9" w:rsidRDefault="00D50C1F" w:rsidP="003A62D8">
      <w:pPr>
        <w:tabs>
          <w:tab w:val="left" w:pos="8172"/>
        </w:tabs>
        <w:spacing w:after="200" w:line="360" w:lineRule="auto"/>
        <w:contextualSpacing/>
        <w:jc w:val="both"/>
        <w:rPr>
          <w:rFonts w:ascii="Arial" w:eastAsia="Calibri" w:hAnsi="Arial" w:cs="Arial"/>
          <w:sz w:val="24"/>
          <w:szCs w:val="24"/>
          <w:lang w:val="es-ES_tradnl"/>
        </w:rPr>
      </w:pPr>
      <w:r>
        <w:rPr>
          <w:rFonts w:ascii="Arial" w:eastAsia="Calibri" w:hAnsi="Arial" w:cs="Arial"/>
          <w:sz w:val="24"/>
          <w:szCs w:val="24"/>
          <w:lang w:val="es-ES"/>
        </w:rPr>
        <w:t xml:space="preserve">- - </w:t>
      </w:r>
      <w:r w:rsidR="0009045F">
        <w:rPr>
          <w:rFonts w:ascii="Arial" w:eastAsia="Calibri" w:hAnsi="Arial" w:cs="Arial"/>
          <w:sz w:val="24"/>
          <w:szCs w:val="24"/>
          <w:lang w:val="es-ES"/>
        </w:rPr>
        <w:t xml:space="preserve">- </w:t>
      </w:r>
      <w:r w:rsidR="00E45DBD" w:rsidRPr="00CB6809">
        <w:rPr>
          <w:rFonts w:ascii="Arial" w:hAnsi="Arial" w:cs="Arial"/>
          <w:sz w:val="24"/>
          <w:szCs w:val="24"/>
          <w:lang w:val="es-ES_tradnl"/>
        </w:rPr>
        <w:t xml:space="preserve">Lo anteriormente señalado, se estima </w:t>
      </w:r>
      <w:r w:rsidR="0050759A">
        <w:rPr>
          <w:rFonts w:ascii="Arial" w:hAnsi="Arial" w:cs="Arial"/>
          <w:sz w:val="24"/>
          <w:szCs w:val="24"/>
          <w:lang w:val="es-ES_tradnl"/>
        </w:rPr>
        <w:t xml:space="preserve">que no resulta </w:t>
      </w:r>
      <w:r w:rsidR="00E45DBD" w:rsidRPr="00CB6809">
        <w:rPr>
          <w:rFonts w:ascii="Arial" w:hAnsi="Arial" w:cs="Arial"/>
          <w:sz w:val="24"/>
          <w:szCs w:val="24"/>
          <w:lang w:val="es-ES_tradnl"/>
        </w:rPr>
        <w:t xml:space="preserve">contrario a lo dispuesto en el artículo 17 de la Constitución Política de los Estados Unidos Mexicanos, </w:t>
      </w:r>
      <w:r w:rsidR="0050759A">
        <w:rPr>
          <w:rFonts w:ascii="Arial" w:hAnsi="Arial" w:cs="Arial"/>
          <w:sz w:val="24"/>
          <w:szCs w:val="24"/>
          <w:lang w:val="es-ES_tradnl"/>
        </w:rPr>
        <w:t>además de que no</w:t>
      </w:r>
      <w:r w:rsidR="00E45DBD" w:rsidRPr="00CB6809">
        <w:rPr>
          <w:rFonts w:ascii="Arial" w:hAnsi="Arial" w:cs="Arial"/>
          <w:sz w:val="24"/>
          <w:szCs w:val="24"/>
          <w:lang w:val="es-ES_tradnl"/>
        </w:rPr>
        <w:t xml:space="preserve"> puede determinarse que con el sobreseimiento decretado se vulnere el derecho humano a la tutela judicial efectiva que le asiste a la</w:t>
      </w:r>
      <w:r w:rsidR="00957AAD">
        <w:rPr>
          <w:rFonts w:ascii="Arial" w:hAnsi="Arial" w:cs="Arial"/>
          <w:sz w:val="24"/>
          <w:szCs w:val="24"/>
          <w:lang w:val="es-ES_tradnl"/>
        </w:rPr>
        <w:t>s partes</w:t>
      </w:r>
      <w:r w:rsidR="00E45DBD" w:rsidRPr="00CB6809">
        <w:rPr>
          <w:rFonts w:ascii="Arial" w:hAnsi="Arial" w:cs="Arial"/>
          <w:sz w:val="24"/>
          <w:szCs w:val="24"/>
          <w:lang w:val="es-ES_tradnl"/>
        </w:rPr>
        <w:t>, ya que el cumplimiento del mencionado derecho humano queda sujeto a los plazos y términos fijados por las leyes que obligan a las partes a cumplir con las cargas y deberes legales que la ley dispone.-</w:t>
      </w:r>
      <w:r>
        <w:rPr>
          <w:rFonts w:ascii="Arial" w:hAnsi="Arial" w:cs="Arial"/>
          <w:sz w:val="24"/>
          <w:szCs w:val="24"/>
          <w:lang w:val="es-ES_tradnl"/>
        </w:rPr>
        <w:t xml:space="preserve"> - - - - - - - - - - - - </w:t>
      </w:r>
      <w:r w:rsidR="00E45DBD" w:rsidRPr="00CB6809">
        <w:rPr>
          <w:rFonts w:ascii="Arial" w:hAnsi="Arial" w:cs="Arial"/>
          <w:sz w:val="24"/>
          <w:szCs w:val="24"/>
          <w:lang w:val="es-ES_tradnl"/>
        </w:rPr>
        <w:t xml:space="preserve">- - - </w:t>
      </w:r>
      <w:r w:rsidR="008267BF">
        <w:rPr>
          <w:rFonts w:ascii="Arial" w:hAnsi="Arial" w:cs="Arial"/>
          <w:sz w:val="24"/>
          <w:szCs w:val="24"/>
          <w:lang w:val="es-ES_tradnl"/>
        </w:rPr>
        <w:t xml:space="preserve">- - - - - - - - - - </w:t>
      </w:r>
      <w:r>
        <w:rPr>
          <w:rFonts w:ascii="Arial" w:eastAsia="Calibri" w:hAnsi="Arial" w:cs="Arial"/>
          <w:sz w:val="24"/>
          <w:szCs w:val="24"/>
          <w:lang w:val="es-ES"/>
        </w:rPr>
        <w:t xml:space="preserve">- - - </w:t>
      </w:r>
      <w:r w:rsidR="00E45DBD" w:rsidRPr="00CB6809">
        <w:rPr>
          <w:rFonts w:ascii="Arial" w:hAnsi="Arial" w:cs="Arial"/>
          <w:sz w:val="24"/>
          <w:szCs w:val="24"/>
          <w:lang w:val="es-ES_tradnl"/>
        </w:rPr>
        <w:t xml:space="preserve">De lo antes </w:t>
      </w:r>
      <w:r w:rsidR="0050759A">
        <w:rPr>
          <w:rFonts w:ascii="Arial" w:hAnsi="Arial" w:cs="Arial"/>
          <w:sz w:val="24"/>
          <w:szCs w:val="24"/>
          <w:lang w:val="es-ES_tradnl"/>
        </w:rPr>
        <w:t>expuesto y razonado</w:t>
      </w:r>
      <w:r w:rsidR="00E45DBD" w:rsidRPr="00CB6809">
        <w:rPr>
          <w:rFonts w:ascii="Arial" w:hAnsi="Arial" w:cs="Arial"/>
          <w:sz w:val="24"/>
          <w:szCs w:val="24"/>
          <w:lang w:val="es-ES_tradnl"/>
        </w:rPr>
        <w:t>, se concluye que basta que de autos se advierta la inactividad en la realización de actos procesales durante el t</w:t>
      </w:r>
      <w:r w:rsidR="00441027">
        <w:rPr>
          <w:rFonts w:ascii="Arial" w:hAnsi="Arial" w:cs="Arial"/>
          <w:sz w:val="24"/>
          <w:szCs w:val="24"/>
          <w:lang w:val="es-ES_tradnl"/>
        </w:rPr>
        <w:t>é</w:t>
      </w:r>
      <w:r w:rsidR="00E45DBD" w:rsidRPr="00CB6809">
        <w:rPr>
          <w:rFonts w:ascii="Arial" w:hAnsi="Arial" w:cs="Arial"/>
          <w:sz w:val="24"/>
          <w:szCs w:val="24"/>
          <w:lang w:val="es-ES_tradnl"/>
        </w:rPr>
        <w:t xml:space="preserve">rmino </w:t>
      </w:r>
      <w:r w:rsidR="00E45DBD" w:rsidRPr="00CB6809">
        <w:rPr>
          <w:rFonts w:ascii="Arial" w:hAnsi="Arial" w:cs="Arial"/>
          <w:sz w:val="24"/>
          <w:szCs w:val="24"/>
          <w:lang w:val="es-ES_tradnl"/>
        </w:rPr>
        <w:lastRenderedPageBreak/>
        <w:t xml:space="preserve">de cien días naturales, para que se determine la actualización del sobreseimiento contenida en el artículo 87 </w:t>
      </w:r>
      <w:r w:rsidR="00A506C6">
        <w:rPr>
          <w:rFonts w:ascii="Arial" w:hAnsi="Arial" w:cs="Arial"/>
          <w:sz w:val="24"/>
          <w:szCs w:val="24"/>
          <w:lang w:val="es-ES_tradnl"/>
        </w:rPr>
        <w:t>[</w:t>
      </w:r>
      <w:r w:rsidR="00E45DBD" w:rsidRPr="00CB6809">
        <w:rPr>
          <w:rFonts w:ascii="Arial" w:hAnsi="Arial" w:cs="Arial"/>
          <w:sz w:val="24"/>
          <w:szCs w:val="24"/>
          <w:lang w:val="es-ES_tradnl"/>
        </w:rPr>
        <w:t>fracción V</w:t>
      </w:r>
      <w:r w:rsidR="00A506C6">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tal y como aconteció en el presente juicio.</w:t>
      </w:r>
      <w:r w:rsidR="00B869C9">
        <w:rPr>
          <w:rFonts w:ascii="Arial" w:hAnsi="Arial" w:cs="Arial"/>
          <w:sz w:val="24"/>
          <w:szCs w:val="24"/>
          <w:lang w:val="es-ES_tradnl"/>
        </w:rPr>
        <w:t>- - - - - - - - - - - -</w:t>
      </w:r>
      <w:r w:rsidR="00112069">
        <w:rPr>
          <w:rFonts w:ascii="Arial" w:eastAsia="Calibri" w:hAnsi="Arial" w:cs="Arial"/>
          <w:sz w:val="24"/>
          <w:szCs w:val="24"/>
          <w:lang w:val="es-ES_tradnl"/>
        </w:rPr>
        <w:t xml:space="preserve">- - - Por otra parte, conviene reparar en lo señalado por la tesis jurisprudencial </w:t>
      </w:r>
      <w:r w:rsidR="00112069" w:rsidRPr="00930DB1">
        <w:rPr>
          <w:rFonts w:ascii="Arial" w:eastAsia="Calibri" w:hAnsi="Arial" w:cs="Arial"/>
          <w:sz w:val="24"/>
          <w:szCs w:val="24"/>
          <w:lang w:val="es-ES_tradnl"/>
        </w:rPr>
        <w:t>PR.A.CS. J/41 A (11a.)</w:t>
      </w:r>
      <w:r w:rsidR="00112069">
        <w:rPr>
          <w:rFonts w:ascii="Arial" w:eastAsia="Calibri" w:hAnsi="Arial" w:cs="Arial"/>
          <w:sz w:val="24"/>
          <w:szCs w:val="24"/>
          <w:lang w:val="es-ES_tradnl"/>
        </w:rPr>
        <w:t xml:space="preserve"> de</w:t>
      </w:r>
      <w:r w:rsidR="00930DB1">
        <w:rPr>
          <w:rFonts w:ascii="Arial" w:eastAsia="Calibri" w:hAnsi="Arial" w:cs="Arial"/>
          <w:sz w:val="24"/>
          <w:szCs w:val="24"/>
          <w:lang w:val="es-ES_tradnl"/>
        </w:rPr>
        <w:t xml:space="preserve"> </w:t>
      </w:r>
      <w:r w:rsidR="00112069">
        <w:rPr>
          <w:rFonts w:ascii="Arial" w:eastAsia="Calibri" w:hAnsi="Arial" w:cs="Arial"/>
          <w:sz w:val="24"/>
          <w:szCs w:val="24"/>
          <w:lang w:val="es-ES_tradnl"/>
        </w:rPr>
        <w:t>r</w:t>
      </w:r>
      <w:r w:rsidR="00112069" w:rsidRPr="00930DB1">
        <w:rPr>
          <w:rFonts w:ascii="Arial" w:eastAsia="Calibri" w:hAnsi="Arial" w:cs="Arial"/>
          <w:sz w:val="24"/>
          <w:szCs w:val="24"/>
          <w:lang w:val="es-ES_tradnl"/>
        </w:rPr>
        <w:t>egistro digital: 2027963, integrada por los Plenos Regionales por contradicción de tesis (ahora criterios), la cual es del rubro y texto siguiente:</w:t>
      </w:r>
      <w:r w:rsidR="008D1023">
        <w:rPr>
          <w:rFonts w:ascii="Arial" w:eastAsia="Calibri" w:hAnsi="Arial" w:cs="Arial"/>
          <w:sz w:val="24"/>
          <w:szCs w:val="24"/>
          <w:lang w:val="es-ES_tradnl"/>
        </w:rPr>
        <w:t xml:space="preserve">- - - - - - - - - - - - - - - - - - - - - - - - - - - - - - - - - - - - - - - - - - - - - - - - - - - </w:t>
      </w:r>
    </w:p>
    <w:p w14:paraId="4E2DDBA4" w14:textId="77777777" w:rsidR="00B869C9" w:rsidRDefault="008D1023" w:rsidP="005225BA">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00112069"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5B8AB0A3" w14:textId="77777777" w:rsidR="00B869C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67FE3883" w14:textId="72A74DE7" w:rsidR="00112069" w:rsidRPr="0011206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47 de la Ley de Justicia Administrativa del Estado de Jalisco, so pena de que caduque la instancia en términos del artículo 29 Bis del Código de Procedimientos Civiles de dicha entidad federativa, aplicado supletoriamente, por falta de impulso al procedimiento.</w:t>
      </w:r>
    </w:p>
    <w:p w14:paraId="681ABDBD"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Justificación: Conforme al marco normativo que regula el procedimiento administrativo en la Ley de Justicia Administrativa del Estado de Jalisco vigente antes de la reforma de nueve de septiembre de dos mil veintiuno, y atento al 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artículo 29 Bis del Código de Procedimientos Civiles de dicha entidad federativa, por falta de impulso al procedimiento, pues de no hacerlo, ante el incumplimiento en la obligación por parte del tribunal jurisdiccional operará la caducidad de la instancia como consecuencia de la omisión del gobernado de seguir impulsando el procedimiento que le resulta imputable.</w:t>
      </w:r>
    </w:p>
    <w:p w14:paraId="64EDFAE3" w14:textId="5E1751CC"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p>
    <w:p w14:paraId="18BEC0A4"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68F115D0" w14:textId="206F7B6E" w:rsidR="00112069" w:rsidRPr="00112069" w:rsidRDefault="00112069" w:rsidP="005225BA">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(presidente). Ponente: Magistrado Arturo Iturbe Rivas. Secretaria: Ro</w:t>
      </w:r>
      <w:r w:rsidR="008D1023">
        <w:rPr>
          <w:rFonts w:ascii="Arial" w:eastAsia="Calibri" w:hAnsi="Arial" w:cs="Arial"/>
          <w:i/>
          <w:iCs/>
          <w:lang w:val="es-ES_tradnl"/>
        </w:rPr>
        <w:t>salba Janeth Rodríguez Sanabria (…).</w:t>
      </w:r>
    </w:p>
    <w:p w14:paraId="3C12CAA7" w14:textId="723E0835" w:rsidR="00B26D6A" w:rsidRPr="00173C91" w:rsidRDefault="0010798F" w:rsidP="00173C91">
      <w:pPr>
        <w:tabs>
          <w:tab w:val="left" w:pos="8172"/>
        </w:tabs>
        <w:spacing w:before="100" w:beforeAutospacing="1" w:after="100" w:afterAutospacing="1" w:line="360" w:lineRule="auto"/>
        <w:jc w:val="both"/>
        <w:rPr>
          <w:rFonts w:ascii="Arial" w:hAnsi="Arial" w:cs="Arial"/>
          <w:iCs/>
          <w:sz w:val="24"/>
          <w:szCs w:val="24"/>
        </w:rPr>
      </w:pPr>
      <w:r w:rsidRPr="00EE3B61">
        <w:rPr>
          <w:rFonts w:ascii="Arial" w:eastAsia="Calibri" w:hAnsi="Arial" w:cs="Arial"/>
          <w:sz w:val="24"/>
          <w:szCs w:val="24"/>
          <w:lang w:val="es-ES_tradnl"/>
        </w:rPr>
        <w:t xml:space="preserve">- - - </w:t>
      </w:r>
      <w:r w:rsidR="00112069" w:rsidRPr="00EE3B61">
        <w:rPr>
          <w:rFonts w:ascii="Arial" w:eastAsia="Calibri" w:hAnsi="Arial" w:cs="Arial"/>
          <w:sz w:val="24"/>
          <w:szCs w:val="24"/>
          <w:lang w:val="es-ES_tradnl"/>
        </w:rPr>
        <w:t>Es por ello</w:t>
      </w:r>
      <w:r w:rsidR="005A34BA" w:rsidRPr="00EE3B61">
        <w:rPr>
          <w:rFonts w:ascii="Arial" w:eastAsia="Calibri" w:hAnsi="Arial" w:cs="Arial"/>
          <w:sz w:val="24"/>
          <w:szCs w:val="24"/>
          <w:lang w:val="es-ES_tradnl"/>
        </w:rPr>
        <w:t xml:space="preserve"> </w:t>
      </w:r>
      <w:proofErr w:type="gramStart"/>
      <w:r w:rsidR="00112069" w:rsidRPr="00EE3B61">
        <w:rPr>
          <w:rFonts w:ascii="Arial" w:eastAsia="Calibri" w:hAnsi="Arial" w:cs="Arial"/>
          <w:sz w:val="24"/>
          <w:szCs w:val="24"/>
          <w:lang w:val="es-ES_tradnl"/>
        </w:rPr>
        <w:t>que</w:t>
      </w:r>
      <w:proofErr w:type="gramEnd"/>
      <w:r w:rsidR="00112069" w:rsidRPr="00EE3B61">
        <w:rPr>
          <w:rFonts w:ascii="Arial" w:eastAsia="Calibri" w:hAnsi="Arial" w:cs="Arial"/>
          <w:sz w:val="24"/>
          <w:szCs w:val="24"/>
          <w:lang w:val="es-ES_tradnl"/>
        </w:rPr>
        <w:t xml:space="preserve"> </w:t>
      </w:r>
      <w:r w:rsidR="00FE795A" w:rsidRPr="00EE3B61">
        <w:rPr>
          <w:rFonts w:ascii="Arial" w:eastAsia="Calibri" w:hAnsi="Arial" w:cs="Arial"/>
          <w:sz w:val="24"/>
          <w:szCs w:val="24"/>
          <w:lang w:val="es-ES_tradnl"/>
        </w:rPr>
        <w:t>el sobreseimiento</w:t>
      </w:r>
      <w:r w:rsidR="005A34BA" w:rsidRPr="00EE3B61">
        <w:rPr>
          <w:rFonts w:ascii="Arial" w:eastAsia="Calibri" w:hAnsi="Arial" w:cs="Arial"/>
          <w:sz w:val="24"/>
          <w:szCs w:val="24"/>
          <w:lang w:val="es-ES_tradnl"/>
        </w:rPr>
        <w:t>, que en el caso concreto surte</w:t>
      </w:r>
      <w:r w:rsidR="00D66C92" w:rsidRPr="00EE3B61">
        <w:rPr>
          <w:rFonts w:ascii="Arial" w:eastAsia="Calibri" w:hAnsi="Arial" w:cs="Arial"/>
          <w:sz w:val="24"/>
          <w:szCs w:val="24"/>
          <w:lang w:val="es-ES_tradnl"/>
        </w:rPr>
        <w:t xml:space="preserve"> y persigue</w:t>
      </w:r>
      <w:r w:rsidR="005A34BA" w:rsidRPr="00EE3B61">
        <w:rPr>
          <w:rFonts w:ascii="Arial" w:eastAsia="Calibri" w:hAnsi="Arial" w:cs="Arial"/>
          <w:sz w:val="24"/>
          <w:szCs w:val="24"/>
          <w:lang w:val="es-ES_tradnl"/>
        </w:rPr>
        <w:t xml:space="preserve"> los mismos efectos que el de la caducidad aducida en el criterio anterior, </w:t>
      </w:r>
      <w:r w:rsidR="00112069" w:rsidRPr="00EE3B61">
        <w:rPr>
          <w:rFonts w:ascii="Arial" w:eastAsia="Calibri" w:hAnsi="Arial" w:cs="Arial"/>
          <w:sz w:val="24"/>
          <w:szCs w:val="24"/>
          <w:lang w:val="es-ES_tradnl"/>
        </w:rPr>
        <w:t>tiene por objeto poner fin a la indefinición de los juicios por inactividad procesal</w:t>
      </w:r>
      <w:r w:rsidR="00702E11">
        <w:rPr>
          <w:rFonts w:ascii="Arial" w:eastAsia="Calibri" w:hAnsi="Arial" w:cs="Arial"/>
          <w:sz w:val="24"/>
          <w:szCs w:val="24"/>
          <w:lang w:val="es-ES_tradnl"/>
        </w:rPr>
        <w:t>,</w:t>
      </w:r>
      <w:r w:rsidR="00112069" w:rsidRPr="00EE3B61">
        <w:rPr>
          <w:rFonts w:ascii="Arial" w:eastAsia="Calibri" w:hAnsi="Arial" w:cs="Arial"/>
          <w:sz w:val="24"/>
          <w:szCs w:val="24"/>
          <w:lang w:val="es-ES_tradnl"/>
        </w:rPr>
        <w:t xml:space="preserve"> para con ello</w:t>
      </w:r>
      <w:r w:rsidR="00112069" w:rsidRPr="0010798F">
        <w:rPr>
          <w:rFonts w:ascii="Arial" w:eastAsia="Calibri" w:hAnsi="Arial" w:cs="Arial"/>
          <w:sz w:val="24"/>
          <w:szCs w:val="24"/>
          <w:lang w:val="es-ES_tradnl"/>
        </w:rPr>
        <w:t xml:space="preserve"> salvaguardar el principio de seguridad jurídica, siendo que la carga procesal, traducida como el impulso que debe darse al juicio, </w:t>
      </w:r>
      <w:r w:rsidR="00B869C9">
        <w:rPr>
          <w:rFonts w:ascii="Arial" w:eastAsia="Calibri" w:hAnsi="Arial" w:cs="Arial"/>
          <w:sz w:val="24"/>
          <w:szCs w:val="24"/>
          <w:lang w:val="es-ES_tradnl"/>
        </w:rPr>
        <w:t xml:space="preserve">es </w:t>
      </w:r>
      <w:r w:rsidR="00112069"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sidR="00C91F09">
        <w:rPr>
          <w:rFonts w:ascii="Arial" w:eastAsia="Calibri" w:hAnsi="Arial" w:cs="Arial"/>
          <w:sz w:val="24"/>
          <w:szCs w:val="24"/>
          <w:lang w:val="es-ES_tradnl"/>
        </w:rPr>
        <w:t xml:space="preserve"> </w:t>
      </w:r>
      <w:r w:rsidR="001C4456">
        <w:rPr>
          <w:rFonts w:ascii="Arial" w:eastAsia="Calibri" w:hAnsi="Arial" w:cs="Arial"/>
          <w:sz w:val="24"/>
          <w:szCs w:val="24"/>
          <w:lang w:val="es-ES_tradnl"/>
        </w:rPr>
        <w:t xml:space="preserve">- - - - - - - - - - - - </w:t>
      </w:r>
      <w:r w:rsidR="00C91F09">
        <w:rPr>
          <w:rFonts w:ascii="Arial" w:eastAsia="Calibri" w:hAnsi="Arial" w:cs="Arial"/>
          <w:sz w:val="24"/>
          <w:szCs w:val="24"/>
          <w:lang w:val="es-ES_tradnl"/>
        </w:rPr>
        <w:t xml:space="preserve">- </w:t>
      </w:r>
      <w:r>
        <w:rPr>
          <w:rFonts w:ascii="Arial" w:eastAsia="Calibri" w:hAnsi="Arial" w:cs="Arial"/>
          <w:sz w:val="24"/>
          <w:szCs w:val="24"/>
          <w:lang w:val="es-ES_tradnl"/>
        </w:rPr>
        <w:t>- A</w:t>
      </w:r>
      <w:r w:rsidR="00112069" w:rsidRPr="0010798F">
        <w:rPr>
          <w:rFonts w:ascii="Arial" w:eastAsia="Calibri" w:hAnsi="Arial" w:cs="Arial"/>
          <w:sz w:val="24"/>
          <w:szCs w:val="24"/>
          <w:lang w:val="es-ES_tradnl"/>
        </w:rPr>
        <w:t>demás la aludida carga procesal encuentra razonabilidad en una situación de hecho relevante, en virtud de que la obligación de impartir justicia por parte del 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proporcionalidad, no resulte desmedido que sean las partes quienes deban seguir impulsando el procedimiento.</w:t>
      </w:r>
      <w:r>
        <w:rPr>
          <w:rFonts w:ascii="Arial" w:eastAsia="Calibri" w:hAnsi="Arial" w:cs="Arial"/>
          <w:sz w:val="24"/>
          <w:szCs w:val="24"/>
          <w:lang w:val="es-ES_tradnl"/>
        </w:rPr>
        <w:t xml:space="preserve">- - - - - - - - - - - - - - - - - - - - - - - - - - - - - - - - - - - </w:t>
      </w:r>
      <w:r w:rsidR="00112069" w:rsidRPr="0010798F">
        <w:rPr>
          <w:rFonts w:ascii="Arial" w:eastAsia="Calibri" w:hAnsi="Arial" w:cs="Arial"/>
          <w:sz w:val="24"/>
          <w:szCs w:val="24"/>
          <w:lang w:val="es-ES_tradnl"/>
        </w:rPr>
        <w:t xml:space="preserve">De ahí que un desinterés tácito implica que dicha figura opera de pleno derecho cuando las partes incumplen con la carga de impulsar el procedimiento, ya que el abandono del procedimiento manifiesta su voluntad (implícita) de no continuar su tramitación, por lo que, acorde con el derecho a la tutela jurisdiccional efectiva y la finalidad de orden público que reviste </w:t>
      </w:r>
      <w:r w:rsidR="00FE795A">
        <w:rPr>
          <w:rFonts w:ascii="Arial" w:eastAsia="Calibri" w:hAnsi="Arial" w:cs="Arial"/>
          <w:sz w:val="24"/>
          <w:szCs w:val="24"/>
          <w:lang w:val="es-ES_tradnl"/>
        </w:rPr>
        <w:t>el sobreseimiento del juicio</w:t>
      </w:r>
      <w:r w:rsidR="00112069" w:rsidRPr="0010798F">
        <w:rPr>
          <w:rFonts w:ascii="Arial" w:eastAsia="Calibri" w:hAnsi="Arial" w:cs="Arial"/>
          <w:sz w:val="24"/>
          <w:szCs w:val="24"/>
          <w:lang w:val="es-ES_tradnl"/>
        </w:rPr>
        <w:t>, es innecesario requerir a las partes previamente a su declaración.</w:t>
      </w:r>
      <w:r>
        <w:rPr>
          <w:rFonts w:ascii="Arial" w:eastAsia="Calibri" w:hAnsi="Arial" w:cs="Arial"/>
          <w:sz w:val="24"/>
          <w:szCs w:val="24"/>
          <w:lang w:val="es-ES_tradnl"/>
        </w:rPr>
        <w:t xml:space="preserve">- - - - - - - - - - - - - - - - - - - - - - - </w:t>
      </w:r>
      <w:r w:rsidR="00D50C1F">
        <w:rPr>
          <w:rFonts w:ascii="Arial" w:eastAsia="Calibri" w:hAnsi="Arial" w:cs="Arial"/>
          <w:sz w:val="24"/>
          <w:szCs w:val="24"/>
          <w:lang w:val="es-ES_tradnl"/>
        </w:rPr>
        <w:t xml:space="preserve">- - - </w:t>
      </w:r>
      <w:r>
        <w:rPr>
          <w:rFonts w:ascii="Arial" w:eastAsia="Calibri" w:hAnsi="Arial" w:cs="Arial"/>
          <w:sz w:val="24"/>
          <w:szCs w:val="24"/>
          <w:lang w:val="es-ES_tradnl"/>
        </w:rPr>
        <w:t xml:space="preserve">- </w:t>
      </w:r>
      <w:r w:rsidR="00961D98">
        <w:rPr>
          <w:rFonts w:ascii="Arial" w:eastAsia="Calibri" w:hAnsi="Arial" w:cs="Arial"/>
          <w:sz w:val="24"/>
          <w:szCs w:val="24"/>
          <w:lang w:val="es-ES_tradnl"/>
        </w:rPr>
        <w:t xml:space="preserve">- - - - - - - - - - - - - - - - - - - - - - - - - </w:t>
      </w:r>
      <w:r w:rsidR="00E45DBD"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en relación con el diverso 17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de la Ley de Justicia Administrativa del Estado de Sonora, este Pleno de </w:t>
      </w:r>
      <w:r w:rsidR="00FE795A">
        <w:rPr>
          <w:rFonts w:ascii="Arial" w:eastAsia="Calibri" w:hAnsi="Arial" w:cs="Arial"/>
          <w:sz w:val="24"/>
          <w:szCs w:val="24"/>
          <w:lang w:val="es-ES_tradnl"/>
        </w:rPr>
        <w:t xml:space="preserve">este </w:t>
      </w:r>
      <w:r w:rsidR="00E45DBD" w:rsidRPr="00D50C1F">
        <w:rPr>
          <w:rFonts w:ascii="Arial" w:eastAsia="Calibri" w:hAnsi="Arial" w:cs="Arial"/>
          <w:sz w:val="24"/>
          <w:szCs w:val="24"/>
          <w:lang w:val="es-ES_tradnl"/>
        </w:rPr>
        <w:t xml:space="preserve">Tribunal de Justicia Administrativa del Estado de Sonora, </w:t>
      </w:r>
      <w:r w:rsidR="00B26D6A" w:rsidRPr="00017183">
        <w:rPr>
          <w:rFonts w:ascii="Arial" w:eastAsia="Calibri" w:hAnsi="Arial" w:cs="Arial"/>
          <w:b/>
          <w:color w:val="000000"/>
          <w:sz w:val="24"/>
          <w:szCs w:val="24"/>
        </w:rPr>
        <w:t>DECRETA EL SOBRESEIMIENTO DEL PRESENTE JUICIO</w:t>
      </w:r>
      <w:r w:rsidR="00E45DBD" w:rsidRPr="00D50C1F">
        <w:rPr>
          <w:rFonts w:ascii="Arial" w:eastAsia="Calibri" w:hAnsi="Arial" w:cs="Arial"/>
          <w:color w:val="000000"/>
          <w:sz w:val="24"/>
          <w:szCs w:val="24"/>
        </w:rPr>
        <w:t xml:space="preserve">, por haberse actualizado la causal prevista en el artículo 87 </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fracción V</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 xml:space="preserve"> de la Ley de Justicia Administrativa para el </w:t>
      </w:r>
      <w:r w:rsidR="00E45DBD" w:rsidRPr="00B26D6A">
        <w:rPr>
          <w:rFonts w:ascii="Arial" w:eastAsia="Calibri" w:hAnsi="Arial" w:cs="Arial"/>
          <w:color w:val="000000"/>
          <w:sz w:val="24"/>
          <w:szCs w:val="24"/>
        </w:rPr>
        <w:t>Estado de Sonora</w:t>
      </w:r>
      <w:r w:rsidR="00B26D6A" w:rsidRPr="00173C91">
        <w:rPr>
          <w:rFonts w:ascii="Arial" w:hAnsi="Arial" w:cs="Arial"/>
          <w:iCs/>
          <w:sz w:val="24"/>
          <w:szCs w:val="24"/>
        </w:rPr>
        <w:t>;</w:t>
      </w:r>
      <w:r w:rsidR="00173C91">
        <w:rPr>
          <w:rFonts w:ascii="Arial" w:hAnsi="Arial" w:cs="Arial"/>
          <w:iCs/>
          <w:sz w:val="24"/>
          <w:szCs w:val="24"/>
        </w:rPr>
        <w:t xml:space="preserve"> </w:t>
      </w:r>
      <w:r w:rsidR="002A60E4">
        <w:rPr>
          <w:rFonts w:ascii="Arial" w:hAnsi="Arial" w:cs="Arial"/>
          <w:iCs/>
          <w:sz w:val="24"/>
          <w:szCs w:val="24"/>
        </w:rPr>
        <w:t xml:space="preserve">y por tratarse </w:t>
      </w:r>
      <w:r w:rsidR="00B26D6A" w:rsidRPr="00173C91">
        <w:rPr>
          <w:rFonts w:ascii="Arial" w:hAnsi="Arial" w:cs="Arial"/>
          <w:iCs/>
          <w:sz w:val="24"/>
          <w:szCs w:val="24"/>
        </w:rPr>
        <w:t xml:space="preserve">de </w:t>
      </w:r>
      <w:r w:rsidR="002A60E4">
        <w:rPr>
          <w:rFonts w:ascii="Arial" w:hAnsi="Arial" w:cs="Arial"/>
          <w:iCs/>
          <w:sz w:val="24"/>
          <w:szCs w:val="24"/>
        </w:rPr>
        <w:t xml:space="preserve">un </w:t>
      </w:r>
      <w:r w:rsidR="00B26D6A" w:rsidRPr="00173C91">
        <w:rPr>
          <w:rFonts w:ascii="Arial" w:hAnsi="Arial" w:cs="Arial"/>
          <w:iCs/>
          <w:sz w:val="24"/>
          <w:szCs w:val="24"/>
        </w:rPr>
        <w:t>estudio preferente,</w:t>
      </w:r>
      <w:r w:rsidR="00173C91">
        <w:rPr>
          <w:rFonts w:ascii="Arial" w:hAnsi="Arial" w:cs="Arial"/>
          <w:iCs/>
          <w:sz w:val="24"/>
          <w:szCs w:val="24"/>
        </w:rPr>
        <w:t xml:space="preserve"> pues</w:t>
      </w:r>
      <w:r w:rsidR="002A60E4">
        <w:rPr>
          <w:rFonts w:ascii="Arial" w:hAnsi="Arial" w:cs="Arial"/>
          <w:iCs/>
          <w:sz w:val="24"/>
          <w:szCs w:val="24"/>
        </w:rPr>
        <w:t xml:space="preserve"> </w:t>
      </w:r>
      <w:r w:rsidR="00173C91">
        <w:rPr>
          <w:rFonts w:ascii="Arial" w:hAnsi="Arial" w:cs="Arial"/>
          <w:iCs/>
          <w:sz w:val="24"/>
          <w:szCs w:val="24"/>
        </w:rPr>
        <w:t>omitirlo</w:t>
      </w:r>
      <w:r w:rsidR="00B26D6A" w:rsidRPr="00173C91">
        <w:rPr>
          <w:rFonts w:ascii="Arial" w:hAnsi="Arial" w:cs="Arial"/>
          <w:iCs/>
          <w:sz w:val="24"/>
          <w:szCs w:val="24"/>
        </w:rPr>
        <w:t>, generaría inseguridad jurídica al proceder al análisis de aspectos de fondo sin que se justifique la procedibilidad, desarticulándose con ello la estructura del juicio; toda vez que el sobreseimiento constituye un fallo definitivo que concluye la instancia y que no delimita los derechos sustanciales de las partes.</w:t>
      </w:r>
      <w:r w:rsidR="00173C91">
        <w:rPr>
          <w:rFonts w:ascii="Arial" w:hAnsi="Arial" w:cs="Arial"/>
          <w:iCs/>
          <w:sz w:val="24"/>
          <w:szCs w:val="24"/>
        </w:rPr>
        <w:t xml:space="preserve"> - - - - - - - - - - - - - - - - - - - - - - - - - - - - - - - - - - - - - - - - - - - - - - - - - - - </w:t>
      </w:r>
      <w:r w:rsidR="00B26D6A" w:rsidRPr="00173C91">
        <w:rPr>
          <w:rFonts w:ascii="Arial" w:hAnsi="Arial" w:cs="Arial"/>
          <w:iCs/>
          <w:sz w:val="24"/>
          <w:szCs w:val="24"/>
        </w:rPr>
        <w:t xml:space="preserve">Al respecto, </w:t>
      </w:r>
      <w:r w:rsidR="00B26D6A">
        <w:rPr>
          <w:rFonts w:ascii="Arial" w:hAnsi="Arial" w:cs="Arial"/>
          <w:iCs/>
          <w:sz w:val="24"/>
          <w:szCs w:val="24"/>
        </w:rPr>
        <w:t>resulta aplicable</w:t>
      </w:r>
      <w:r w:rsidR="00B26D6A" w:rsidRPr="00173C91">
        <w:rPr>
          <w:rFonts w:ascii="Arial" w:hAnsi="Arial" w:cs="Arial"/>
          <w:iCs/>
          <w:sz w:val="24"/>
          <w:szCs w:val="24"/>
        </w:rPr>
        <w:t xml:space="preserve"> </w:t>
      </w:r>
      <w:r w:rsidR="00B26D6A">
        <w:rPr>
          <w:rFonts w:ascii="Arial" w:hAnsi="Arial" w:cs="Arial"/>
          <w:iCs/>
          <w:sz w:val="24"/>
          <w:szCs w:val="24"/>
        </w:rPr>
        <w:t>el</w:t>
      </w:r>
      <w:r w:rsidR="00B26D6A" w:rsidRPr="00173C91">
        <w:rPr>
          <w:rFonts w:ascii="Arial" w:hAnsi="Arial" w:cs="Arial"/>
          <w:iCs/>
          <w:sz w:val="24"/>
          <w:szCs w:val="24"/>
        </w:rPr>
        <w:t xml:space="preserve"> siguiente criterio emitido por la Justicia Federal: </w:t>
      </w:r>
      <w:r w:rsidR="00173C91">
        <w:rPr>
          <w:rFonts w:ascii="Arial" w:hAnsi="Arial" w:cs="Arial"/>
          <w:iCs/>
          <w:sz w:val="24"/>
          <w:szCs w:val="24"/>
        </w:rPr>
        <w:t xml:space="preserve">- - - - - - - - - - - - - - - - - - - - - - - - - - - - - - - - - - - - - - - - - - - - - - - - - - - - </w:t>
      </w:r>
    </w:p>
    <w:p w14:paraId="218E4A45" w14:textId="619D43F7" w:rsidR="00B26D6A" w:rsidRDefault="00B26D6A" w:rsidP="00173C91">
      <w:pPr>
        <w:ind w:left="284" w:right="284"/>
        <w:contextualSpacing/>
        <w:jc w:val="both"/>
        <w:rPr>
          <w:rFonts w:ascii="Arial" w:hAnsi="Arial" w:cs="Arial"/>
          <w:iCs/>
        </w:rPr>
      </w:pPr>
      <w:r w:rsidRPr="00EA7A33">
        <w:rPr>
          <w:rFonts w:ascii="Arial" w:hAnsi="Arial" w:cs="Arial"/>
          <w:b/>
          <w:i/>
          <w:szCs w:val="20"/>
          <w:lang w:eastAsia="es-MX"/>
        </w:rPr>
        <w:t>SOBRESEIMIENTO EN EL JUICIO CONTENCIOSO ADMINISTRATIVO FEDERAL. SU NATURALEZA JURÍDICA.</w:t>
      </w:r>
      <w:r w:rsidRPr="00EA7A33">
        <w:rPr>
          <w:rFonts w:ascii="Arial" w:hAnsi="Arial" w:cs="Arial"/>
          <w:i/>
          <w:szCs w:val="20"/>
          <w:lang w:eastAsia="es-MX"/>
        </w:rPr>
        <w:t xml:space="preserve"> De conformidad con el artículo </w:t>
      </w:r>
      <w:hyperlink r:id="rId11" w:history="1">
        <w:r w:rsidRPr="00EA7A33">
          <w:rPr>
            <w:rFonts w:ascii="Arial" w:hAnsi="Arial" w:cs="Arial"/>
            <w:i/>
            <w:szCs w:val="20"/>
            <w:lang w:eastAsia="es-MX"/>
          </w:rPr>
          <w:t>9o., fracción VI, de la Ley Federal de Procedimiento Contencioso Administrativo</w:t>
        </w:r>
      </w:hyperlink>
      <w:r w:rsidRPr="00EA7A33">
        <w:rPr>
          <w:rFonts w:ascii="Arial" w:hAnsi="Arial" w:cs="Arial"/>
          <w:i/>
          <w:szCs w:val="20"/>
          <w:lang w:eastAsia="es-MX"/>
        </w:rPr>
        <w:t>,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w:t>
      </w:r>
      <w:hyperlink r:id="rId12" w:history="1">
        <w:r w:rsidRPr="00EA7A33">
          <w:rPr>
            <w:rFonts w:ascii="Arial" w:hAnsi="Arial" w:cs="Arial"/>
            <w:i/>
            <w:szCs w:val="20"/>
            <w:lang w:eastAsia="es-MX"/>
          </w:rPr>
          <w:t>8o. de la Ley Federal de Procedimiento Contencioso Administrativo</w:t>
        </w:r>
      </w:hyperlink>
      <w:r w:rsidRPr="00EA7A33">
        <w:rPr>
          <w:rFonts w:ascii="Arial" w:hAnsi="Arial" w:cs="Arial"/>
          <w:i/>
          <w:szCs w:val="20"/>
          <w:lang w:eastAsia="es-MX"/>
        </w:rPr>
        <w:t xml:space="preserve">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supercedere;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 </w:t>
      </w:r>
      <w:r w:rsidRPr="00EA7A33">
        <w:rPr>
          <w:rFonts w:ascii="Arial" w:hAnsi="Arial" w:cs="Arial"/>
          <w:szCs w:val="20"/>
          <w:lang w:eastAsia="es-MX"/>
        </w:rPr>
        <w:t xml:space="preserve">[Décima Época. Registro: 2022131. </w:t>
      </w:r>
      <w:r w:rsidRPr="00173C91">
        <w:rPr>
          <w:rFonts w:ascii="Arial" w:hAnsi="Arial" w:cs="Arial"/>
          <w:bCs/>
          <w:szCs w:val="20"/>
          <w:u w:val="single"/>
          <w:lang w:eastAsia="es-MX"/>
        </w:rPr>
        <w:t>Tribunales Colegiados de Circuito</w:t>
      </w:r>
      <w:r w:rsidRPr="00B26D6A">
        <w:rPr>
          <w:rFonts w:ascii="Arial" w:hAnsi="Arial" w:cs="Arial"/>
          <w:bCs/>
          <w:szCs w:val="20"/>
          <w:lang w:eastAsia="es-MX"/>
        </w:rPr>
        <w:t xml:space="preserve">. </w:t>
      </w:r>
      <w:r w:rsidRPr="00173C91">
        <w:rPr>
          <w:rFonts w:ascii="Arial" w:hAnsi="Arial" w:cs="Arial"/>
          <w:bCs/>
          <w:szCs w:val="20"/>
          <w:u w:val="single"/>
          <w:lang w:eastAsia="es-MX"/>
        </w:rPr>
        <w:t>Tesis Aislada</w:t>
      </w:r>
      <w:r w:rsidRPr="00EA7A33">
        <w:rPr>
          <w:rFonts w:ascii="Arial" w:hAnsi="Arial" w:cs="Arial"/>
          <w:szCs w:val="20"/>
          <w:lang w:eastAsia="es-MX"/>
        </w:rPr>
        <w:t xml:space="preserve">. Gaceta del Semanario Judicial de la Federación. Libro 78, Tomo II, septiembre de 2020. Materia (s): Administrativa. Tesis: III.6o.A.30 A (10a.). Página 982.]. - - - - - - - - </w:t>
      </w:r>
      <w:r>
        <w:rPr>
          <w:rFonts w:ascii="Arial" w:hAnsi="Arial" w:cs="Arial"/>
          <w:szCs w:val="20"/>
          <w:lang w:eastAsia="es-MX"/>
        </w:rPr>
        <w:br/>
      </w:r>
    </w:p>
    <w:p w14:paraId="1865A172" w14:textId="292B72FD" w:rsidR="00B26D6A" w:rsidRPr="00173C91" w:rsidRDefault="00B26D6A" w:rsidP="00173C91">
      <w:pPr>
        <w:spacing w:line="360" w:lineRule="auto"/>
        <w:contextualSpacing/>
        <w:jc w:val="both"/>
        <w:rPr>
          <w:rFonts w:ascii="Arial" w:hAnsi="Arial" w:cs="Arial"/>
          <w:i/>
          <w:sz w:val="24"/>
          <w:szCs w:val="24"/>
          <w:lang w:eastAsia="es-MX"/>
        </w:rPr>
      </w:pPr>
      <w:r>
        <w:rPr>
          <w:rFonts w:ascii="Arial" w:hAnsi="Arial" w:cs="Arial"/>
          <w:iCs/>
          <w:sz w:val="24"/>
          <w:szCs w:val="24"/>
        </w:rPr>
        <w:t>- -</w:t>
      </w:r>
      <w:r w:rsidRPr="00173C91">
        <w:rPr>
          <w:rFonts w:ascii="Arial" w:hAnsi="Arial" w:cs="Arial"/>
          <w:iCs/>
          <w:sz w:val="24"/>
          <w:szCs w:val="24"/>
        </w:rPr>
        <w:t xml:space="preserve"> </w:t>
      </w:r>
      <w:r>
        <w:rPr>
          <w:rFonts w:ascii="Arial" w:hAnsi="Arial" w:cs="Arial"/>
          <w:iCs/>
          <w:sz w:val="24"/>
          <w:szCs w:val="24"/>
        </w:rPr>
        <w:t xml:space="preserve">- </w:t>
      </w:r>
      <w:r w:rsidRPr="00173C91">
        <w:rPr>
          <w:rFonts w:ascii="Arial" w:hAnsi="Arial" w:cs="Arial"/>
          <w:iCs/>
          <w:sz w:val="24"/>
          <w:szCs w:val="24"/>
        </w:rPr>
        <w:t xml:space="preserve">Una vez que cause estado la presente resolución, háganse las anotaciones respectivas en los Libros de Gobierno de este Tribunal y archívese como asunto total y definitivamente concluido. - - - - - - - - - - - - - - - - - - - - - - - - - - - - - - - - - - </w:t>
      </w:r>
    </w:p>
    <w:p w14:paraId="3D4F21D2" w14:textId="157609BC" w:rsidR="00D50C1F" w:rsidRDefault="00E45DBD" w:rsidP="003A62D8">
      <w:pPr>
        <w:tabs>
          <w:tab w:val="left" w:pos="8172"/>
        </w:tabs>
        <w:spacing w:before="100" w:beforeAutospacing="1" w:after="100" w:afterAutospacing="1" w:line="360" w:lineRule="auto"/>
        <w:contextualSpacing/>
        <w:jc w:val="both"/>
        <w:rPr>
          <w:rFonts w:ascii="Arial" w:eastAsia="Times New Roman" w:hAnsi="Arial" w:cs="Arial"/>
          <w:b/>
          <w:bCs/>
          <w:sz w:val="24"/>
          <w:szCs w:val="24"/>
          <w:lang w:val="es-ES" w:eastAsia="es-ES"/>
        </w:rPr>
      </w:pPr>
      <w:r w:rsidRPr="00B26D6A">
        <w:rPr>
          <w:rFonts w:ascii="Arial" w:eastAsia="Calibri" w:hAnsi="Arial" w:cs="Arial"/>
          <w:color w:val="000000"/>
          <w:sz w:val="24"/>
          <w:szCs w:val="24"/>
        </w:rPr>
        <w:t xml:space="preserve"> </w:t>
      </w:r>
      <w:r w:rsidR="00D50C1F" w:rsidRPr="00B26D6A">
        <w:rPr>
          <w:rFonts w:ascii="Arial" w:eastAsia="Calibri" w:hAnsi="Arial" w:cs="Arial"/>
          <w:color w:val="000000"/>
          <w:sz w:val="24"/>
          <w:szCs w:val="24"/>
        </w:rPr>
        <w:t xml:space="preserve">- - - </w:t>
      </w:r>
      <w:r w:rsidR="00D50C1F" w:rsidRPr="00B26D6A">
        <w:rPr>
          <w:rFonts w:ascii="Arial" w:hAnsi="Arial" w:cs="Arial"/>
          <w:b/>
          <w:sz w:val="24"/>
          <w:szCs w:val="24"/>
        </w:rPr>
        <w:t>NOTIFÍQUESE PERSONALMENTE</w:t>
      </w:r>
      <w:r w:rsidR="00D50C1F" w:rsidRPr="00B26D6A">
        <w:rPr>
          <w:rFonts w:ascii="Arial" w:hAnsi="Arial" w:cs="Arial"/>
          <w:sz w:val="24"/>
          <w:szCs w:val="24"/>
        </w:rPr>
        <w:t xml:space="preserve"> el presente acuerdo para todos los </w:t>
      </w:r>
      <w:r w:rsidR="00D50C1F" w:rsidRPr="00D50C1F">
        <w:rPr>
          <w:rFonts w:ascii="Arial" w:hAnsi="Arial" w:cs="Arial"/>
          <w:sz w:val="24"/>
          <w:szCs w:val="24"/>
        </w:rPr>
        <w:t xml:space="preserve">efectos legales, de conformidad al artículo 39 [fracción I, inciso </w:t>
      </w:r>
      <w:r w:rsidR="00A667E5">
        <w:rPr>
          <w:rFonts w:ascii="Arial" w:hAnsi="Arial" w:cs="Arial"/>
          <w:sz w:val="24"/>
          <w:szCs w:val="24"/>
        </w:rPr>
        <w:t>f)</w:t>
      </w:r>
      <w:r w:rsidR="00D50C1F" w:rsidRPr="00D50C1F">
        <w:rPr>
          <w:rFonts w:ascii="Arial" w:hAnsi="Arial" w:cs="Arial"/>
          <w:sz w:val="24"/>
          <w:szCs w:val="24"/>
        </w:rPr>
        <w:t>] de la Ley de Justicia Administrativa para el Estado de Sonora.</w:t>
      </w:r>
      <w:r w:rsidR="00D50C1F">
        <w:rPr>
          <w:rFonts w:ascii="Arial" w:hAnsi="Arial" w:cs="Arial"/>
          <w:sz w:val="24"/>
          <w:szCs w:val="24"/>
        </w:rPr>
        <w:t xml:space="preserve">- - - - - - - - - - - - - - - - - - </w:t>
      </w:r>
      <w:bookmarkEnd w:id="0"/>
      <w:r w:rsidR="0010798F">
        <w:rPr>
          <w:rFonts w:ascii="Arial" w:hAnsi="Arial" w:cs="Arial"/>
          <w:sz w:val="24"/>
          <w:szCs w:val="24"/>
        </w:rPr>
        <w:t>- - - - - - - -</w:t>
      </w:r>
      <w:r w:rsidR="00961D98">
        <w:rPr>
          <w:rFonts w:ascii="Arial" w:hAnsi="Arial" w:cs="Arial"/>
          <w:sz w:val="24"/>
          <w:szCs w:val="24"/>
        </w:rPr>
        <w:t xml:space="preserve"> </w:t>
      </w:r>
      <w:r w:rsidR="00D50C1F" w:rsidRPr="00D50C1F">
        <w:rPr>
          <w:rFonts w:ascii="Arial" w:eastAsia="Times New Roman" w:hAnsi="Arial" w:cs="Arial"/>
          <w:b/>
          <w:sz w:val="24"/>
          <w:szCs w:val="24"/>
          <w:lang w:val="es-ES" w:eastAsia="es-ES"/>
        </w:rPr>
        <w:t>ASÍ</w:t>
      </w:r>
      <w:r w:rsidR="00D50C1F" w:rsidRPr="00D50C1F">
        <w:rPr>
          <w:rFonts w:ascii="Arial" w:eastAsia="Times New Roman" w:hAnsi="Arial" w:cs="Arial"/>
          <w:sz w:val="24"/>
          <w:szCs w:val="24"/>
          <w:lang w:val="es-ES" w:eastAsia="es-ES"/>
        </w:rPr>
        <w:t xml:space="preserve"> lo resolvió </w:t>
      </w:r>
      <w:r w:rsidR="00962EF3">
        <w:rPr>
          <w:rFonts w:ascii="Arial" w:eastAsia="Times New Roman" w:hAnsi="Arial" w:cs="Arial"/>
          <w:sz w:val="24"/>
          <w:szCs w:val="24"/>
          <w:lang w:val="es-ES" w:eastAsia="es-ES"/>
        </w:rPr>
        <w:t xml:space="preserve">el Pleno </w:t>
      </w:r>
      <w:r w:rsidR="00D50C1F" w:rsidRPr="00D50C1F">
        <w:rPr>
          <w:rFonts w:ascii="Arial" w:eastAsia="Times New Roman" w:hAnsi="Arial" w:cs="Arial"/>
          <w:sz w:val="24"/>
          <w:szCs w:val="24"/>
          <w:lang w:val="es-ES" w:eastAsia="es-ES"/>
        </w:rPr>
        <w:t>del Tribunal de Justicia Administrativa por unanimidad de votos de los Magistrados José Santiago Encinas Velarde</w:t>
      </w:r>
      <w:r w:rsidR="00D50C1F" w:rsidRPr="00D50C1F">
        <w:rPr>
          <w:rFonts w:ascii="Arial" w:hAnsi="Arial" w:cs="Arial"/>
          <w:sz w:val="24"/>
          <w:szCs w:val="24"/>
        </w:rPr>
        <w:t>, Renato Alberto</w:t>
      </w:r>
      <w:r w:rsidR="00D50C1F" w:rsidRPr="00D50C1F">
        <w:rPr>
          <w:rFonts w:ascii="Arial" w:hAnsi="Arial" w:cs="Arial"/>
          <w:b/>
          <w:sz w:val="24"/>
          <w:szCs w:val="24"/>
        </w:rPr>
        <w:t xml:space="preserve"> </w:t>
      </w:r>
      <w:r w:rsidR="00D50C1F" w:rsidRPr="00D50C1F">
        <w:rPr>
          <w:rFonts w:ascii="Arial" w:hAnsi="Arial" w:cs="Arial"/>
          <w:sz w:val="24"/>
          <w:szCs w:val="24"/>
        </w:rPr>
        <w:t xml:space="preserve">Girón Loya, </w:t>
      </w:r>
      <w:r w:rsidR="009C6A9E">
        <w:rPr>
          <w:rFonts w:ascii="Arial" w:eastAsia="Times New Roman" w:hAnsi="Arial" w:cs="Arial"/>
          <w:sz w:val="24"/>
          <w:szCs w:val="24"/>
          <w:lang w:val="es-ES" w:eastAsia="es-ES"/>
        </w:rPr>
        <w:t>Daniel Rodarte Ramírez</w:t>
      </w:r>
      <w:r w:rsidR="00D50C1F" w:rsidRPr="00D50C1F">
        <w:rPr>
          <w:rFonts w:ascii="Arial" w:eastAsia="Times New Roman" w:hAnsi="Arial" w:cs="Arial"/>
          <w:sz w:val="24"/>
          <w:szCs w:val="24"/>
          <w:lang w:val="es-ES" w:eastAsia="es-ES"/>
        </w:rPr>
        <w:t xml:space="preserve">, </w:t>
      </w:r>
      <w:r w:rsidR="00D50C1F" w:rsidRPr="00D50C1F">
        <w:rPr>
          <w:rFonts w:ascii="Arial" w:hAnsi="Arial" w:cs="Arial"/>
          <w:sz w:val="24"/>
          <w:szCs w:val="24"/>
        </w:rPr>
        <w:t>Blanca Sobeida Viera Barajas y Guadalupe María Mendívil Corral</w:t>
      </w:r>
      <w:r w:rsidR="00D50C1F" w:rsidRPr="00D50C1F">
        <w:rPr>
          <w:rFonts w:ascii="Arial" w:eastAsia="Times New Roman" w:hAnsi="Arial" w:cs="Arial"/>
          <w:sz w:val="24"/>
          <w:szCs w:val="24"/>
          <w:lang w:val="es-ES" w:eastAsia="es-ES"/>
        </w:rPr>
        <w:t xml:space="preserve"> </w:t>
      </w:r>
      <w:r w:rsidR="00D50C1F" w:rsidRPr="0010798F">
        <w:rPr>
          <w:rFonts w:ascii="Arial" w:eastAsia="Times New Roman" w:hAnsi="Arial" w:cs="Arial"/>
          <w:sz w:val="24"/>
          <w:szCs w:val="24"/>
          <w:lang w:val="es-ES" w:eastAsia="es-ES"/>
        </w:rPr>
        <w:t>siendo ponente el segundo en orden de los nombrados, quienes</w:t>
      </w:r>
      <w:r w:rsidR="00D50C1F" w:rsidRPr="00D50C1F">
        <w:rPr>
          <w:rFonts w:ascii="Arial" w:eastAsia="Times New Roman" w:hAnsi="Arial" w:cs="Arial"/>
          <w:sz w:val="24"/>
          <w:szCs w:val="24"/>
          <w:lang w:val="es-ES" w:eastAsia="es-ES"/>
        </w:rPr>
        <w:t xml:space="preserve"> firman con el Secretario </w:t>
      </w:r>
      <w:r w:rsidR="00725373">
        <w:rPr>
          <w:rFonts w:ascii="Arial" w:eastAsia="Times New Roman" w:hAnsi="Arial" w:cs="Arial"/>
          <w:sz w:val="24"/>
          <w:szCs w:val="24"/>
          <w:lang w:val="es-ES" w:eastAsia="es-ES"/>
        </w:rPr>
        <w:t>de Acuerdos</w:t>
      </w:r>
      <w:r w:rsidR="00D50C1F" w:rsidRPr="00D50C1F">
        <w:rPr>
          <w:rFonts w:ascii="Arial" w:eastAsia="Times New Roman" w:hAnsi="Arial" w:cs="Arial"/>
          <w:sz w:val="24"/>
          <w:szCs w:val="24"/>
          <w:lang w:val="es-ES" w:eastAsia="es-ES"/>
        </w:rPr>
        <w:t xml:space="preserve">, Maestro </w:t>
      </w:r>
      <w:r w:rsidR="00CD216C">
        <w:rPr>
          <w:rFonts w:ascii="Arial" w:eastAsia="Times New Roman" w:hAnsi="Arial" w:cs="Arial"/>
          <w:sz w:val="24"/>
          <w:szCs w:val="24"/>
          <w:lang w:val="es-ES" w:eastAsia="es-ES"/>
        </w:rPr>
        <w:t xml:space="preserve">Luis </w:t>
      </w:r>
      <w:r w:rsidR="009C6A9E">
        <w:rPr>
          <w:rFonts w:ascii="Arial" w:eastAsia="Times New Roman" w:hAnsi="Arial" w:cs="Arial"/>
          <w:sz w:val="24"/>
          <w:szCs w:val="24"/>
          <w:lang w:val="es-ES" w:eastAsia="es-ES"/>
        </w:rPr>
        <w:t xml:space="preserve">Arsenio </w:t>
      </w:r>
      <w:r w:rsidR="00CD216C">
        <w:rPr>
          <w:rFonts w:ascii="Arial" w:eastAsia="Times New Roman" w:hAnsi="Arial" w:cs="Arial"/>
          <w:sz w:val="24"/>
          <w:szCs w:val="24"/>
          <w:lang w:val="es-ES" w:eastAsia="es-ES"/>
        </w:rPr>
        <w:t xml:space="preserve">Duarte Salido </w:t>
      </w:r>
      <w:r w:rsidR="00D50C1F" w:rsidRPr="00D50C1F">
        <w:rPr>
          <w:rFonts w:ascii="Arial" w:eastAsia="Times New Roman" w:hAnsi="Arial" w:cs="Arial"/>
          <w:sz w:val="24"/>
          <w:szCs w:val="24"/>
          <w:lang w:val="es-ES" w:eastAsia="es-ES"/>
        </w:rPr>
        <w:t xml:space="preserve">que autoriza y da fe.- </w:t>
      </w:r>
      <w:r w:rsidR="00D50C1F" w:rsidRPr="00FA65B8">
        <w:rPr>
          <w:rFonts w:ascii="Arial" w:eastAsia="Times New Roman" w:hAnsi="Arial" w:cs="Arial"/>
          <w:b/>
          <w:bCs/>
          <w:sz w:val="24"/>
          <w:szCs w:val="24"/>
          <w:lang w:val="es-ES" w:eastAsia="es-ES"/>
        </w:rPr>
        <w:t>DOY FE</w:t>
      </w:r>
      <w:r w:rsidR="00EA20F7" w:rsidRPr="00FA65B8">
        <w:rPr>
          <w:rFonts w:ascii="Arial" w:eastAsia="Times New Roman" w:hAnsi="Arial" w:cs="Arial"/>
          <w:b/>
          <w:bCs/>
          <w:sz w:val="24"/>
          <w:szCs w:val="24"/>
          <w:lang w:val="es-ES" w:eastAsia="es-ES"/>
        </w:rPr>
        <w:t>.-</w:t>
      </w:r>
    </w:p>
    <w:p w14:paraId="03F862C9" w14:textId="77777777" w:rsidR="00991831" w:rsidRDefault="00991831"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658D43F5" w14:textId="77777777" w:rsidR="00423D25" w:rsidRDefault="00423D25"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4A7698D" w14:textId="1B45600B" w:rsidR="008267BF" w:rsidRPr="00962EF3" w:rsidRDefault="000F5F61" w:rsidP="000F5F61">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______________________________</w:t>
      </w:r>
    </w:p>
    <w:p w14:paraId="15890CBC" w14:textId="48F0C90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Mtro. José Santiago Encinas Velarde</w:t>
      </w:r>
    </w:p>
    <w:p w14:paraId="45BA38DA" w14:textId="11262EFF"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 xml:space="preserve">Magistrado </w:t>
      </w:r>
      <w:proofErr w:type="gramStart"/>
      <w:r w:rsidR="008267BF" w:rsidRPr="00962EF3">
        <w:rPr>
          <w:rFonts w:ascii="Arial" w:hAnsi="Arial" w:cs="Arial"/>
          <w:color w:val="000000"/>
          <w:spacing w:val="8"/>
          <w:sz w:val="24"/>
          <w:szCs w:val="24"/>
          <w:lang w:val="es-ES"/>
        </w:rPr>
        <w:t>Presidente</w:t>
      </w:r>
      <w:proofErr w:type="gramEnd"/>
    </w:p>
    <w:p w14:paraId="3D14DE8F"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AAF5F4"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EA4AFB4" w14:textId="77777777" w:rsidR="001B62CD" w:rsidRDefault="001B62CD"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BB8B559" w14:textId="77777777" w:rsidR="002933A2" w:rsidRDefault="002933A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136AEB6" w14:textId="77777777" w:rsidR="00170E19" w:rsidRPr="00962EF3" w:rsidRDefault="00170E19"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DAA81F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48788E"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3445D6A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52645A6D" w14:textId="77777777" w:rsidR="00CD216C" w:rsidRDefault="00CD216C" w:rsidP="005225BA">
      <w:pPr>
        <w:tabs>
          <w:tab w:val="left" w:pos="8172"/>
        </w:tabs>
        <w:spacing w:after="0" w:line="240" w:lineRule="auto"/>
        <w:contextualSpacing/>
        <w:jc w:val="center"/>
        <w:rPr>
          <w:rFonts w:ascii="Arial" w:hAnsi="Arial" w:cs="Arial"/>
          <w:color w:val="000000"/>
          <w:spacing w:val="8"/>
          <w:sz w:val="24"/>
          <w:szCs w:val="24"/>
          <w:lang w:val="es-ES"/>
        </w:rPr>
      </w:pPr>
    </w:p>
    <w:p w14:paraId="2BA451DB"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49DD5C0"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81203FA" w14:textId="77777777" w:rsidR="002933A2" w:rsidRDefault="002933A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E51241"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4C0943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B8031E2" w14:textId="3ACA6869" w:rsidR="008267BF" w:rsidRPr="00962EF3" w:rsidRDefault="00F47893" w:rsidP="005225BA">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008267BF" w:rsidRPr="00962EF3">
        <w:rPr>
          <w:rFonts w:ascii="Arial" w:hAnsi="Arial" w:cs="Arial"/>
          <w:color w:val="000000"/>
          <w:spacing w:val="8"/>
          <w:sz w:val="24"/>
          <w:szCs w:val="24"/>
          <w:lang w:val="es-ES"/>
        </w:rPr>
        <w:t>.</w:t>
      </w:r>
      <w:r w:rsidR="00CD216C">
        <w:rPr>
          <w:rFonts w:ascii="Arial" w:hAnsi="Arial" w:cs="Arial"/>
          <w:color w:val="000000"/>
          <w:spacing w:val="8"/>
          <w:sz w:val="24"/>
          <w:szCs w:val="24"/>
          <w:lang w:val="es-ES"/>
        </w:rPr>
        <w:t xml:space="preserve"> Daniel Rodarte Ramírez</w:t>
      </w:r>
    </w:p>
    <w:p w14:paraId="23D4C055" w14:textId="1B2D0E58"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Tercera Ponencia</w:t>
      </w:r>
    </w:p>
    <w:p w14:paraId="33E34DBA" w14:textId="2A8BF45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3229B209"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6F5A37AE" w14:textId="77777777" w:rsidR="00725373" w:rsidRDefault="00725373"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62F7658" w14:textId="77777777" w:rsidR="002933A2" w:rsidRDefault="002933A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09A37E" w14:textId="77777777" w:rsidR="00DD3A7B" w:rsidRPr="00962EF3" w:rsidRDefault="00DD3A7B"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B02C558"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C6D2EA3" w14:textId="5629E4E1"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13A30095"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6F5A04AE"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727C06"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D531C86"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7E4E8EF" w14:textId="77777777" w:rsidR="005225BA" w:rsidRPr="00962EF3"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889F76F"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0421AA" w14:textId="5F2D9DC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768C5B9C" w14:textId="027E9DAE"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Quinta Ponencia</w:t>
      </w:r>
    </w:p>
    <w:p w14:paraId="01A35C3F"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1A1FB36"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3BD75A57" w14:textId="77777777" w:rsidR="005225BA" w:rsidRDefault="005225BA" w:rsidP="005225BA">
      <w:pPr>
        <w:tabs>
          <w:tab w:val="left" w:pos="8172"/>
        </w:tabs>
        <w:spacing w:after="0" w:line="240" w:lineRule="auto"/>
        <w:contextualSpacing/>
        <w:jc w:val="center"/>
        <w:rPr>
          <w:rFonts w:ascii="Arial" w:hAnsi="Arial" w:cs="Arial"/>
          <w:color w:val="000000"/>
          <w:spacing w:val="8"/>
          <w:sz w:val="24"/>
          <w:szCs w:val="24"/>
          <w:lang w:val="es-ES"/>
        </w:rPr>
      </w:pPr>
    </w:p>
    <w:p w14:paraId="43FF7AEB"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45DBF6CB" w14:textId="77777777" w:rsidR="002933A2" w:rsidRPr="00962EF3" w:rsidRDefault="002933A2" w:rsidP="005225BA">
      <w:pPr>
        <w:tabs>
          <w:tab w:val="left" w:pos="8172"/>
        </w:tabs>
        <w:spacing w:after="0" w:line="240" w:lineRule="auto"/>
        <w:contextualSpacing/>
        <w:jc w:val="center"/>
        <w:rPr>
          <w:rFonts w:ascii="Arial" w:hAnsi="Arial" w:cs="Arial"/>
          <w:color w:val="000000"/>
          <w:spacing w:val="8"/>
          <w:sz w:val="24"/>
          <w:szCs w:val="24"/>
          <w:lang w:val="es-ES"/>
        </w:rPr>
      </w:pPr>
    </w:p>
    <w:p w14:paraId="262B30A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263FB31" w14:textId="4E73D5E8"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Mtro. </w:t>
      </w:r>
      <w:r w:rsidR="00CD216C" w:rsidRPr="00962EF3">
        <w:rPr>
          <w:rFonts w:ascii="Arial" w:hAnsi="Arial" w:cs="Arial"/>
          <w:color w:val="000000"/>
          <w:spacing w:val="8"/>
          <w:sz w:val="24"/>
          <w:szCs w:val="24"/>
          <w:lang w:val="es-ES"/>
        </w:rPr>
        <w:t>Luis Arsenio Duarte Salido</w:t>
      </w:r>
    </w:p>
    <w:p w14:paraId="70A84703" w14:textId="0C36AC9E" w:rsidR="00D50C1F" w:rsidRPr="00962EF3" w:rsidRDefault="00D50C1F" w:rsidP="005225BA">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sidR="00B643EE">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04301977" w14:textId="5F070348" w:rsidR="00D50C1F" w:rsidRPr="00962EF3" w:rsidRDefault="00D50C1F" w:rsidP="00C038F7">
      <w:pPr>
        <w:tabs>
          <w:tab w:val="left" w:pos="8172"/>
        </w:tabs>
        <w:spacing w:before="100" w:beforeAutospacing="1" w:after="0" w:line="276" w:lineRule="auto"/>
        <w:jc w:val="both"/>
        <w:rPr>
          <w:rFonts w:ascii="Arial" w:eastAsia="Times New Roman" w:hAnsi="Arial" w:cs="Arial"/>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día </w:t>
      </w:r>
      <w:r w:rsidR="00526202">
        <w:rPr>
          <w:rFonts w:ascii="Arial" w:eastAsia="Times New Roman" w:hAnsi="Arial" w:cs="Arial"/>
          <w:sz w:val="24"/>
          <w:szCs w:val="24"/>
          <w:lang w:val="es-ES_tradnl" w:eastAsia="es-ES"/>
        </w:rPr>
        <w:t xml:space="preserve">uno </w:t>
      </w:r>
      <w:r w:rsidR="007C3DE1" w:rsidRPr="00E06ACB">
        <w:rPr>
          <w:rFonts w:ascii="Arial" w:eastAsia="Times New Roman" w:hAnsi="Arial" w:cs="Arial"/>
          <w:sz w:val="24"/>
          <w:szCs w:val="24"/>
          <w:lang w:val="es-ES_tradnl" w:eastAsia="es-ES"/>
        </w:rPr>
        <w:t xml:space="preserve">de </w:t>
      </w:r>
      <w:r w:rsidR="00C038F7">
        <w:rPr>
          <w:rFonts w:ascii="Arial" w:eastAsia="Times New Roman" w:hAnsi="Arial" w:cs="Arial"/>
          <w:sz w:val="24"/>
          <w:szCs w:val="24"/>
          <w:lang w:val="es-ES_tradnl" w:eastAsia="es-ES"/>
        </w:rPr>
        <w:t>ju</w:t>
      </w:r>
      <w:r w:rsidR="00526202">
        <w:rPr>
          <w:rFonts w:ascii="Arial" w:eastAsia="Times New Roman" w:hAnsi="Arial" w:cs="Arial"/>
          <w:sz w:val="24"/>
          <w:szCs w:val="24"/>
          <w:lang w:val="es-ES_tradnl" w:eastAsia="es-ES"/>
        </w:rPr>
        <w:t>l</w:t>
      </w:r>
      <w:r w:rsidR="00C038F7">
        <w:rPr>
          <w:rFonts w:ascii="Arial" w:eastAsia="Times New Roman" w:hAnsi="Arial" w:cs="Arial"/>
          <w:sz w:val="24"/>
          <w:szCs w:val="24"/>
          <w:lang w:val="es-ES_tradnl" w:eastAsia="es-ES"/>
        </w:rPr>
        <w:t xml:space="preserve">io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3EF1FB2D" w14:textId="2047EE1E" w:rsidR="000C35F2" w:rsidRDefault="00D50C1F" w:rsidP="00C038F7">
      <w:pPr>
        <w:tabs>
          <w:tab w:val="left" w:pos="8172"/>
        </w:tabs>
        <w:spacing w:before="100" w:beforeAutospacing="1" w:after="0" w:line="276" w:lineRule="auto"/>
        <w:rPr>
          <w:rFonts w:eastAsia="Times New Roman"/>
          <w:sz w:val="20"/>
          <w:szCs w:val="20"/>
          <w:lang w:val="es-ES_tradnl" w:eastAsia="es-ES"/>
        </w:rPr>
      </w:pPr>
      <w:r>
        <w:rPr>
          <w:rFonts w:eastAsia="Times New Roman"/>
          <w:sz w:val="20"/>
          <w:szCs w:val="20"/>
          <w:lang w:val="es-ES_tradnl" w:eastAsia="es-ES"/>
        </w:rPr>
        <w:t>RAGL/Bytm*</w:t>
      </w:r>
    </w:p>
    <w:sectPr w:rsidR="000C35F2" w:rsidSect="007533F7">
      <w:headerReference w:type="even" r:id="rId13"/>
      <w:headerReference w:type="default" r:id="rId14"/>
      <w:footerReference w:type="even" r:id="rId15"/>
      <w:footerReference w:type="default" r:id="rId16"/>
      <w:headerReference w:type="first" r:id="rId17"/>
      <w:footerReference w:type="first" r:id="rId18"/>
      <w:pgSz w:w="12240" w:h="20160" w:code="5"/>
      <w:pgMar w:top="1418" w:right="1469"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E8CBE" w14:textId="77777777" w:rsidR="00DB7178" w:rsidRDefault="00DB7178" w:rsidP="00E45DBD">
      <w:pPr>
        <w:spacing w:after="0" w:line="240" w:lineRule="auto"/>
      </w:pPr>
      <w:r>
        <w:separator/>
      </w:r>
    </w:p>
  </w:endnote>
  <w:endnote w:type="continuationSeparator" w:id="0">
    <w:p w14:paraId="51CCBEC9" w14:textId="77777777" w:rsidR="00DB7178" w:rsidRDefault="00DB7178" w:rsidP="00E4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1991" w14:textId="77777777" w:rsidR="006257F1" w:rsidRDefault="00625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860742"/>
      <w:docPartObj>
        <w:docPartGallery w:val="Page Numbers (Bottom of Page)"/>
        <w:docPartUnique/>
      </w:docPartObj>
    </w:sdtPr>
    <w:sdtContent>
      <w:p w14:paraId="15B25A27" w14:textId="77777777" w:rsidR="00EC6074" w:rsidRDefault="00291CFF">
        <w:pPr>
          <w:pStyle w:val="Footer"/>
          <w:jc w:val="right"/>
        </w:pPr>
        <w:r>
          <w:fldChar w:fldCharType="begin"/>
        </w:r>
        <w:r>
          <w:instrText>PAGE   \* MERGEFORMAT</w:instrText>
        </w:r>
        <w:r>
          <w:fldChar w:fldCharType="separate"/>
        </w:r>
        <w:r w:rsidR="00C548E8" w:rsidRPr="00C548E8">
          <w:rPr>
            <w:noProof/>
            <w:lang w:val="es-ES"/>
          </w:rPr>
          <w:t>7</w:t>
        </w:r>
        <w:r>
          <w:fldChar w:fldCharType="end"/>
        </w:r>
      </w:p>
    </w:sdtContent>
  </w:sdt>
  <w:p w14:paraId="7639516C" w14:textId="77777777" w:rsidR="00EC6074" w:rsidRDefault="00EC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F65C" w14:textId="77777777" w:rsidR="006257F1" w:rsidRDefault="0062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3CC2D" w14:textId="77777777" w:rsidR="00DB7178" w:rsidRDefault="00DB7178" w:rsidP="00E45DBD">
      <w:pPr>
        <w:spacing w:after="0" w:line="240" w:lineRule="auto"/>
      </w:pPr>
      <w:r>
        <w:separator/>
      </w:r>
    </w:p>
  </w:footnote>
  <w:footnote w:type="continuationSeparator" w:id="0">
    <w:p w14:paraId="477C0AEB" w14:textId="77777777" w:rsidR="00DB7178" w:rsidRDefault="00DB7178" w:rsidP="00E45DBD">
      <w:pPr>
        <w:spacing w:after="0" w:line="240" w:lineRule="auto"/>
      </w:pPr>
      <w:r>
        <w:continuationSeparator/>
      </w:r>
    </w:p>
  </w:footnote>
  <w:footnote w:id="1">
    <w:p w14:paraId="4B629980" w14:textId="08EA6F11" w:rsidR="00E855B0" w:rsidRPr="002933A2" w:rsidRDefault="00E855B0" w:rsidP="00526202">
      <w:pPr>
        <w:pStyle w:val="FootnoteText"/>
        <w:jc w:val="both"/>
        <w:rPr>
          <w:rFonts w:ascii="Arial" w:hAnsi="Arial" w:cs="Arial"/>
        </w:rPr>
      </w:pPr>
      <w:r w:rsidRPr="002933A2">
        <w:rPr>
          <w:rStyle w:val="FootnoteReference"/>
          <w:rFonts w:ascii="Arial" w:hAnsi="Arial" w:cs="Arial"/>
        </w:rPr>
        <w:footnoteRef/>
      </w:r>
      <w:r w:rsidRPr="002933A2">
        <w:rPr>
          <w:rFonts w:ascii="Arial" w:hAnsi="Arial" w:cs="Arial"/>
        </w:rPr>
        <w:t xml:space="preserve"> Acepciones extraídas del Diccionario panhispánico del español jurídico. </w:t>
      </w:r>
    </w:p>
  </w:footnote>
  <w:footnote w:id="2">
    <w:p w14:paraId="3D64E46C" w14:textId="4497B542" w:rsidR="00E855B0" w:rsidRDefault="00E855B0" w:rsidP="008738CB">
      <w:pPr>
        <w:pStyle w:val="FootnoteText"/>
        <w:jc w:val="both"/>
      </w:pPr>
      <w:r w:rsidRPr="002933A2">
        <w:rPr>
          <w:rStyle w:val="FootnoteReference"/>
          <w:rFonts w:ascii="Arial" w:hAnsi="Arial" w:cs="Arial"/>
        </w:rPr>
        <w:footnoteRef/>
      </w:r>
      <w:r w:rsidRPr="002933A2">
        <w:rPr>
          <w:rFonts w:ascii="Arial" w:hAnsi="Arial" w:cs="Arial"/>
        </w:rPr>
        <w:t xml:space="preserve"> J. Couture, Eduardo. Fundamentos del Derecho Procesal Civil” Roque de Palma Editor, Buenos Aires.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B382" w14:textId="77777777" w:rsidR="006257F1" w:rsidRDefault="00625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3FA" w14:textId="1C7EDE82" w:rsidR="00EC6074" w:rsidRDefault="006257F1" w:rsidP="00161C4D">
    <w:pPr>
      <w:pStyle w:val="BodyText"/>
      <w:spacing w:line="14" w:lineRule="auto"/>
      <w:ind w:right="333"/>
      <w:rPr>
        <w:b/>
        <w:i/>
        <w:sz w:val="20"/>
      </w:rPr>
    </w:pPr>
    <w:sdt>
      <w:sdtPr>
        <w:rPr>
          <w:b/>
          <w:i/>
          <w:sz w:val="20"/>
        </w:rPr>
        <w:id w:val="-1806314525"/>
        <w:docPartObj>
          <w:docPartGallery w:val="Watermarks"/>
          <w:docPartUnique/>
        </w:docPartObj>
      </w:sdtPr>
      <w:sdtContent>
        <w:r w:rsidRPr="006257F1">
          <w:rPr>
            <w:b/>
            <w:i/>
            <w:noProof/>
            <w:sz w:val="20"/>
          </w:rPr>
          <w:pict w14:anchorId="4E461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312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291CFF">
      <w:rPr>
        <w:noProof/>
        <w:lang w:eastAsia="es-MX"/>
      </w:rPr>
      <mc:AlternateContent>
        <mc:Choice Requires="wps">
          <w:drawing>
            <wp:anchor distT="0" distB="0" distL="114300" distR="114300" simplePos="0" relativeHeight="251659264" behindDoc="1" locked="0" layoutInCell="1" allowOverlap="1" wp14:anchorId="5B00F7B5" wp14:editId="5E7A35B8">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2AC" w14:textId="2FA5D953" w:rsidR="00EC6074" w:rsidRDefault="00EC6074"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F7B5"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" filled="f" stroked="f">
              <v:textbox inset="0,0,0,0">
                <w:txbxContent>
                  <w:p w14:paraId="72D652AC" w14:textId="2FA5D953" w:rsidR="00EC6074" w:rsidRDefault="00EC6074" w:rsidP="002D1411">
                    <w:pPr>
                      <w:spacing w:after="0"/>
                      <w:ind w:left="48" w:right="124" w:firstLine="2"/>
                      <w:jc w:val="both"/>
                      <w:rPr>
                        <w:rFonts w:ascii="Arial MT" w:hAnsi="Arial MT"/>
                        <w:sz w:val="16"/>
                      </w:rPr>
                    </w:pPr>
                  </w:p>
                </w:txbxContent>
              </v:textbox>
              <w10:wrap anchorx="page" anchory="page"/>
            </v:shape>
          </w:pict>
        </mc:Fallback>
      </mc:AlternateContent>
    </w:r>
  </w:p>
  <w:p w14:paraId="340F2E6C" w14:textId="01EC3A03" w:rsidR="00EC6074" w:rsidRDefault="00D10E49" w:rsidP="00C55A72">
    <w:pPr>
      <w:pStyle w:val="Header"/>
      <w:tabs>
        <w:tab w:val="clear" w:pos="4419"/>
      </w:tabs>
      <w:rPr>
        <w:noProof/>
      </w:rPr>
    </w:pPr>
    <w:r w:rsidRPr="009C0D91">
      <w:rPr>
        <w:b/>
        <w:bCs/>
        <w:noProof/>
        <w:lang w:eastAsia="es-MX"/>
      </w:rPr>
      <w:drawing>
        <wp:anchor distT="0" distB="0" distL="114300" distR="114300" simplePos="0" relativeHeight="251661312" behindDoc="0" locked="0" layoutInCell="1" hidden="0" allowOverlap="1" wp14:anchorId="42DE409F" wp14:editId="6B6F6C00">
          <wp:simplePos x="0" y="0"/>
          <wp:positionH relativeFrom="margin">
            <wp:align>left</wp:align>
          </wp:positionH>
          <wp:positionV relativeFrom="paragraph">
            <wp:posOffset>7620</wp:posOffset>
          </wp:positionV>
          <wp:extent cx="2057400" cy="876300"/>
          <wp:effectExtent l="0" t="0" r="0" b="0"/>
          <wp:wrapNone/>
          <wp:docPr id="1" name="image1.png" descr="http://www.contencioso.gob.mx/imagenes/header/logo_new.png"/>
          <wp:cNvGraphicFramePr/>
          <a:graphic xmlns:a="http://schemas.openxmlformats.org/drawingml/2006/main">
            <a:graphicData uri="http://schemas.openxmlformats.org/drawingml/2006/picture">
              <pic:pic xmlns:pic="http://schemas.openxmlformats.org/drawingml/2006/picture">
                <pic:nvPicPr>
                  <pic:cNvPr id="0" name="image1.png" descr="http://www.contencioso.gob.mx/imagenes/header/logo_new.png"/>
                  <pic:cNvPicPr preferRelativeResize="0"/>
                </pic:nvPicPr>
                <pic:blipFill>
                  <a:blip r:embed="rId1"/>
                  <a:srcRect b="9951"/>
                  <a:stretch>
                    <a:fillRect/>
                  </a:stretch>
                </pic:blipFill>
                <pic:spPr>
                  <a:xfrm>
                    <a:off x="0" y="0"/>
                    <a:ext cx="2057400" cy="876300"/>
                  </a:xfrm>
                  <a:prstGeom prst="rect">
                    <a:avLst/>
                  </a:prstGeom>
                  <a:ln/>
                </pic:spPr>
              </pic:pic>
            </a:graphicData>
          </a:graphic>
          <wp14:sizeRelV relativeFrom="margin">
            <wp14:pctHeight>0</wp14:pctHeight>
          </wp14:sizeRelV>
        </wp:anchor>
      </w:drawing>
    </w:r>
    <w:r w:rsidR="00291CFF">
      <w:rPr>
        <w:noProof/>
      </w:rPr>
      <w:t xml:space="preserve">    </w:t>
    </w:r>
    <w:r w:rsidR="005225BA">
      <w:rPr>
        <w:noProof/>
      </w:rPr>
      <w:t xml:space="preserve">  </w:t>
    </w:r>
    <w:r w:rsidR="00291CFF">
      <w:rPr>
        <w:noProof/>
      </w:rPr>
      <w:t xml:space="preserve">     </w:t>
    </w:r>
    <w:r w:rsidR="00C55A72">
      <w:rPr>
        <w:noProof/>
      </w:rPr>
      <w:tab/>
    </w:r>
  </w:p>
  <w:p w14:paraId="571F169B" w14:textId="72D2FF1B" w:rsidR="00EC6074" w:rsidRDefault="00EC6074" w:rsidP="00161C4D">
    <w:pPr>
      <w:pStyle w:val="Header"/>
      <w:tabs>
        <w:tab w:val="clear" w:pos="8838"/>
        <w:tab w:val="right" w:pos="8505"/>
      </w:tabs>
    </w:pPr>
  </w:p>
  <w:p w14:paraId="3B5684C5" w14:textId="6AC40041" w:rsidR="00C55A72" w:rsidRPr="00CB6809"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01304938" w14:textId="388AA786" w:rsidR="00C55A72"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00C61788">
      <w:rPr>
        <w:b/>
        <w:sz w:val="22"/>
        <w:szCs w:val="22"/>
      </w:rPr>
      <w:t xml:space="preserve">: </w:t>
    </w:r>
    <w:r w:rsidR="00D36C4C">
      <w:rPr>
        <w:b/>
        <w:sz w:val="22"/>
        <w:szCs w:val="22"/>
      </w:rPr>
      <w:t>1377</w:t>
    </w:r>
    <w:r w:rsidR="00C61788">
      <w:rPr>
        <w:b/>
        <w:sz w:val="22"/>
        <w:szCs w:val="22"/>
      </w:rPr>
      <w:t>/20</w:t>
    </w:r>
    <w:r w:rsidR="00D36C4C">
      <w:rPr>
        <w:b/>
        <w:sz w:val="22"/>
        <w:szCs w:val="22"/>
      </w:rPr>
      <w:t>19</w:t>
    </w:r>
  </w:p>
  <w:p w14:paraId="0BA76025" w14:textId="77777777" w:rsidR="00161C4D" w:rsidRDefault="00161C4D" w:rsidP="0099282E">
    <w:pPr>
      <w:pStyle w:val="Header"/>
      <w:tabs>
        <w:tab w:val="clear" w:pos="8838"/>
        <w:tab w:val="right" w:pos="8364"/>
        <w:tab w:val="right" w:pos="8505"/>
      </w:tabs>
      <w:rPr>
        <w:b/>
        <w:sz w:val="22"/>
        <w:szCs w:val="22"/>
      </w:rPr>
    </w:pPr>
  </w:p>
  <w:p w14:paraId="39D1BAE6" w14:textId="77777777" w:rsidR="00CB6809" w:rsidRPr="00CB6809" w:rsidRDefault="00CB6809"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950F" w14:textId="77777777" w:rsidR="006257F1" w:rsidRDefault="00625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66DA5"/>
    <w:multiLevelType w:val="hybridMultilevel"/>
    <w:tmpl w:val="AE6008A2"/>
    <w:lvl w:ilvl="0" w:tplc="2C623236">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348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D"/>
    <w:rsid w:val="00002849"/>
    <w:rsid w:val="00017183"/>
    <w:rsid w:val="00066550"/>
    <w:rsid w:val="00077327"/>
    <w:rsid w:val="00077B60"/>
    <w:rsid w:val="00085AC4"/>
    <w:rsid w:val="0009045F"/>
    <w:rsid w:val="00091933"/>
    <w:rsid w:val="000B1C89"/>
    <w:rsid w:val="000B7496"/>
    <w:rsid w:val="000C35F2"/>
    <w:rsid w:val="000D0A49"/>
    <w:rsid w:val="000F085E"/>
    <w:rsid w:val="000F5F61"/>
    <w:rsid w:val="001045D9"/>
    <w:rsid w:val="0010551C"/>
    <w:rsid w:val="001068F0"/>
    <w:rsid w:val="0010798F"/>
    <w:rsid w:val="00112069"/>
    <w:rsid w:val="00114A52"/>
    <w:rsid w:val="00116DC9"/>
    <w:rsid w:val="0011757F"/>
    <w:rsid w:val="00130249"/>
    <w:rsid w:val="00140237"/>
    <w:rsid w:val="001424D1"/>
    <w:rsid w:val="00161C4D"/>
    <w:rsid w:val="00162507"/>
    <w:rsid w:val="00165196"/>
    <w:rsid w:val="00170E19"/>
    <w:rsid w:val="00171531"/>
    <w:rsid w:val="00173C91"/>
    <w:rsid w:val="001830F0"/>
    <w:rsid w:val="0019206D"/>
    <w:rsid w:val="001B2142"/>
    <w:rsid w:val="001B62CD"/>
    <w:rsid w:val="001C4456"/>
    <w:rsid w:val="001E7EEB"/>
    <w:rsid w:val="001F4C2C"/>
    <w:rsid w:val="00203092"/>
    <w:rsid w:val="00207739"/>
    <w:rsid w:val="00213A3E"/>
    <w:rsid w:val="0022508F"/>
    <w:rsid w:val="002369E8"/>
    <w:rsid w:val="002434D1"/>
    <w:rsid w:val="002454E7"/>
    <w:rsid w:val="00250A78"/>
    <w:rsid w:val="00251928"/>
    <w:rsid w:val="00254B56"/>
    <w:rsid w:val="002652F6"/>
    <w:rsid w:val="002654FC"/>
    <w:rsid w:val="00291CFF"/>
    <w:rsid w:val="002933A2"/>
    <w:rsid w:val="002A4FF9"/>
    <w:rsid w:val="002A60E4"/>
    <w:rsid w:val="002A788C"/>
    <w:rsid w:val="002B1CBE"/>
    <w:rsid w:val="002E33F2"/>
    <w:rsid w:val="002E3C48"/>
    <w:rsid w:val="002E6A98"/>
    <w:rsid w:val="002F0F16"/>
    <w:rsid w:val="00300BB5"/>
    <w:rsid w:val="003239E2"/>
    <w:rsid w:val="003263A5"/>
    <w:rsid w:val="00336863"/>
    <w:rsid w:val="00340767"/>
    <w:rsid w:val="00350338"/>
    <w:rsid w:val="00351456"/>
    <w:rsid w:val="00351A7D"/>
    <w:rsid w:val="003542CF"/>
    <w:rsid w:val="00363177"/>
    <w:rsid w:val="003641B9"/>
    <w:rsid w:val="003655AA"/>
    <w:rsid w:val="00375A94"/>
    <w:rsid w:val="00390A71"/>
    <w:rsid w:val="0039753E"/>
    <w:rsid w:val="003975C3"/>
    <w:rsid w:val="003A20CB"/>
    <w:rsid w:val="003A62D8"/>
    <w:rsid w:val="003B1149"/>
    <w:rsid w:val="003C353D"/>
    <w:rsid w:val="003C4952"/>
    <w:rsid w:val="003D20C1"/>
    <w:rsid w:val="003E48CF"/>
    <w:rsid w:val="003F76CF"/>
    <w:rsid w:val="00413751"/>
    <w:rsid w:val="00423D25"/>
    <w:rsid w:val="0043298E"/>
    <w:rsid w:val="00433320"/>
    <w:rsid w:val="00441027"/>
    <w:rsid w:val="004434C8"/>
    <w:rsid w:val="00491E5D"/>
    <w:rsid w:val="00494DFF"/>
    <w:rsid w:val="004A2E48"/>
    <w:rsid w:val="004C562E"/>
    <w:rsid w:val="004C7615"/>
    <w:rsid w:val="004D21BD"/>
    <w:rsid w:val="004F548F"/>
    <w:rsid w:val="0050759A"/>
    <w:rsid w:val="00512C49"/>
    <w:rsid w:val="005225BA"/>
    <w:rsid w:val="00526202"/>
    <w:rsid w:val="00535612"/>
    <w:rsid w:val="00546ED9"/>
    <w:rsid w:val="0055213B"/>
    <w:rsid w:val="00556A7F"/>
    <w:rsid w:val="00560FC7"/>
    <w:rsid w:val="0056488A"/>
    <w:rsid w:val="00572709"/>
    <w:rsid w:val="005741C4"/>
    <w:rsid w:val="005855E1"/>
    <w:rsid w:val="00587E69"/>
    <w:rsid w:val="005917DB"/>
    <w:rsid w:val="005A34BA"/>
    <w:rsid w:val="005B007A"/>
    <w:rsid w:val="005B6F17"/>
    <w:rsid w:val="005E44B0"/>
    <w:rsid w:val="005F54BB"/>
    <w:rsid w:val="00605F4C"/>
    <w:rsid w:val="00610639"/>
    <w:rsid w:val="00615EE3"/>
    <w:rsid w:val="006257F1"/>
    <w:rsid w:val="00643E79"/>
    <w:rsid w:val="00647E57"/>
    <w:rsid w:val="00667852"/>
    <w:rsid w:val="00682B73"/>
    <w:rsid w:val="00687F08"/>
    <w:rsid w:val="006B3203"/>
    <w:rsid w:val="006B4698"/>
    <w:rsid w:val="006D2FAA"/>
    <w:rsid w:val="006D6A54"/>
    <w:rsid w:val="00702E11"/>
    <w:rsid w:val="00721C1E"/>
    <w:rsid w:val="00725373"/>
    <w:rsid w:val="007253A6"/>
    <w:rsid w:val="00740DEE"/>
    <w:rsid w:val="00741636"/>
    <w:rsid w:val="00746325"/>
    <w:rsid w:val="007533F7"/>
    <w:rsid w:val="00754648"/>
    <w:rsid w:val="0077682B"/>
    <w:rsid w:val="007769A5"/>
    <w:rsid w:val="007947B0"/>
    <w:rsid w:val="00795C9A"/>
    <w:rsid w:val="00797214"/>
    <w:rsid w:val="007B13BE"/>
    <w:rsid w:val="007C3C2D"/>
    <w:rsid w:val="007C3DE1"/>
    <w:rsid w:val="007C499E"/>
    <w:rsid w:val="007C5407"/>
    <w:rsid w:val="007C5ED8"/>
    <w:rsid w:val="007E2D42"/>
    <w:rsid w:val="007E3310"/>
    <w:rsid w:val="007E5DEF"/>
    <w:rsid w:val="007F42D1"/>
    <w:rsid w:val="00800502"/>
    <w:rsid w:val="00820A81"/>
    <w:rsid w:val="008221F6"/>
    <w:rsid w:val="008223C5"/>
    <w:rsid w:val="008267BF"/>
    <w:rsid w:val="008339CE"/>
    <w:rsid w:val="00840B1F"/>
    <w:rsid w:val="00861959"/>
    <w:rsid w:val="0086331E"/>
    <w:rsid w:val="008634FB"/>
    <w:rsid w:val="008654A4"/>
    <w:rsid w:val="00873559"/>
    <w:rsid w:val="008738CB"/>
    <w:rsid w:val="00876E8D"/>
    <w:rsid w:val="00892C08"/>
    <w:rsid w:val="008B19B2"/>
    <w:rsid w:val="008B4211"/>
    <w:rsid w:val="008D1023"/>
    <w:rsid w:val="008D1BF8"/>
    <w:rsid w:val="008E3A3A"/>
    <w:rsid w:val="008E4AC9"/>
    <w:rsid w:val="008E6DC7"/>
    <w:rsid w:val="009154C6"/>
    <w:rsid w:val="00916937"/>
    <w:rsid w:val="00920F16"/>
    <w:rsid w:val="00924ABB"/>
    <w:rsid w:val="00930DB1"/>
    <w:rsid w:val="00936A2C"/>
    <w:rsid w:val="009478FA"/>
    <w:rsid w:val="009506DB"/>
    <w:rsid w:val="00951764"/>
    <w:rsid w:val="00952D0A"/>
    <w:rsid w:val="00955A9C"/>
    <w:rsid w:val="00957AAD"/>
    <w:rsid w:val="009615F0"/>
    <w:rsid w:val="00961D98"/>
    <w:rsid w:val="009624EC"/>
    <w:rsid w:val="00962EF3"/>
    <w:rsid w:val="0096586D"/>
    <w:rsid w:val="00966241"/>
    <w:rsid w:val="00977679"/>
    <w:rsid w:val="00991831"/>
    <w:rsid w:val="0099282E"/>
    <w:rsid w:val="009958B3"/>
    <w:rsid w:val="009975CB"/>
    <w:rsid w:val="009A0057"/>
    <w:rsid w:val="009B6ABB"/>
    <w:rsid w:val="009B7F86"/>
    <w:rsid w:val="009C121F"/>
    <w:rsid w:val="009C16E7"/>
    <w:rsid w:val="009C1815"/>
    <w:rsid w:val="009C4F0E"/>
    <w:rsid w:val="009C6A9E"/>
    <w:rsid w:val="009D42E8"/>
    <w:rsid w:val="009F0243"/>
    <w:rsid w:val="009F65F7"/>
    <w:rsid w:val="00A00A58"/>
    <w:rsid w:val="00A329ED"/>
    <w:rsid w:val="00A374C8"/>
    <w:rsid w:val="00A47F5B"/>
    <w:rsid w:val="00A506C6"/>
    <w:rsid w:val="00A667E5"/>
    <w:rsid w:val="00A71726"/>
    <w:rsid w:val="00A964D2"/>
    <w:rsid w:val="00AB3CC1"/>
    <w:rsid w:val="00AC2081"/>
    <w:rsid w:val="00B057CE"/>
    <w:rsid w:val="00B05DB6"/>
    <w:rsid w:val="00B26D6A"/>
    <w:rsid w:val="00B27867"/>
    <w:rsid w:val="00B31A0C"/>
    <w:rsid w:val="00B53ECC"/>
    <w:rsid w:val="00B54AAC"/>
    <w:rsid w:val="00B5565F"/>
    <w:rsid w:val="00B565A6"/>
    <w:rsid w:val="00B643EE"/>
    <w:rsid w:val="00B7246A"/>
    <w:rsid w:val="00B73A09"/>
    <w:rsid w:val="00B810F1"/>
    <w:rsid w:val="00B81A54"/>
    <w:rsid w:val="00B869C9"/>
    <w:rsid w:val="00BA16DF"/>
    <w:rsid w:val="00BB4F73"/>
    <w:rsid w:val="00BD30AC"/>
    <w:rsid w:val="00BD30D0"/>
    <w:rsid w:val="00BD7CB8"/>
    <w:rsid w:val="00BE000C"/>
    <w:rsid w:val="00BF47D8"/>
    <w:rsid w:val="00C038F7"/>
    <w:rsid w:val="00C07769"/>
    <w:rsid w:val="00C26A78"/>
    <w:rsid w:val="00C30EA5"/>
    <w:rsid w:val="00C35990"/>
    <w:rsid w:val="00C5344A"/>
    <w:rsid w:val="00C548E8"/>
    <w:rsid w:val="00C55A72"/>
    <w:rsid w:val="00C56260"/>
    <w:rsid w:val="00C5771A"/>
    <w:rsid w:val="00C61788"/>
    <w:rsid w:val="00C63401"/>
    <w:rsid w:val="00C908AD"/>
    <w:rsid w:val="00C91F09"/>
    <w:rsid w:val="00C966B0"/>
    <w:rsid w:val="00CA239D"/>
    <w:rsid w:val="00CA55FD"/>
    <w:rsid w:val="00CB44F3"/>
    <w:rsid w:val="00CB6809"/>
    <w:rsid w:val="00CC0CE6"/>
    <w:rsid w:val="00CC4678"/>
    <w:rsid w:val="00CC6928"/>
    <w:rsid w:val="00CD216C"/>
    <w:rsid w:val="00CD76F6"/>
    <w:rsid w:val="00CF3D1D"/>
    <w:rsid w:val="00CF5480"/>
    <w:rsid w:val="00D06DD8"/>
    <w:rsid w:val="00D10E49"/>
    <w:rsid w:val="00D11C11"/>
    <w:rsid w:val="00D2257B"/>
    <w:rsid w:val="00D25B91"/>
    <w:rsid w:val="00D36729"/>
    <w:rsid w:val="00D36C4C"/>
    <w:rsid w:val="00D37BD7"/>
    <w:rsid w:val="00D50C1F"/>
    <w:rsid w:val="00D61072"/>
    <w:rsid w:val="00D63B00"/>
    <w:rsid w:val="00D66C92"/>
    <w:rsid w:val="00D715C3"/>
    <w:rsid w:val="00DB7178"/>
    <w:rsid w:val="00DC16CB"/>
    <w:rsid w:val="00DD3A7B"/>
    <w:rsid w:val="00DE0FF7"/>
    <w:rsid w:val="00DE4EC5"/>
    <w:rsid w:val="00DE6528"/>
    <w:rsid w:val="00DF30A7"/>
    <w:rsid w:val="00E06ACB"/>
    <w:rsid w:val="00E07F8A"/>
    <w:rsid w:val="00E1121F"/>
    <w:rsid w:val="00E21600"/>
    <w:rsid w:val="00E27C15"/>
    <w:rsid w:val="00E31E50"/>
    <w:rsid w:val="00E42E8E"/>
    <w:rsid w:val="00E45DBD"/>
    <w:rsid w:val="00E65D30"/>
    <w:rsid w:val="00E77B27"/>
    <w:rsid w:val="00E855B0"/>
    <w:rsid w:val="00EA20F7"/>
    <w:rsid w:val="00EA3B5F"/>
    <w:rsid w:val="00EA7911"/>
    <w:rsid w:val="00EC25D1"/>
    <w:rsid w:val="00EC56D2"/>
    <w:rsid w:val="00EC6074"/>
    <w:rsid w:val="00ED1A6A"/>
    <w:rsid w:val="00EE3B61"/>
    <w:rsid w:val="00EE7212"/>
    <w:rsid w:val="00EE7ABE"/>
    <w:rsid w:val="00EF5D42"/>
    <w:rsid w:val="00EF7AF1"/>
    <w:rsid w:val="00EF7BE7"/>
    <w:rsid w:val="00F046A8"/>
    <w:rsid w:val="00F11D29"/>
    <w:rsid w:val="00F149C9"/>
    <w:rsid w:val="00F33000"/>
    <w:rsid w:val="00F4367A"/>
    <w:rsid w:val="00F47893"/>
    <w:rsid w:val="00F570C2"/>
    <w:rsid w:val="00F76829"/>
    <w:rsid w:val="00FA65B8"/>
    <w:rsid w:val="00FE0A0D"/>
    <w:rsid w:val="00FE795A"/>
    <w:rsid w:val="00FF4920"/>
    <w:rsid w:val="00FF4ADC"/>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6AFC"/>
  <w15:docId w15:val="{507F39C8-95A0-4D59-AF78-5013435C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DBD"/>
    <w:pPr>
      <w:spacing w:after="120"/>
    </w:pPr>
  </w:style>
  <w:style w:type="character" w:customStyle="1" w:styleId="BodyTextChar">
    <w:name w:val="Body Text Char"/>
    <w:basedOn w:val="DefaultParagraphFont"/>
    <w:link w:val="BodyText"/>
    <w:uiPriority w:val="99"/>
    <w:semiHidden/>
    <w:rsid w:val="00E45DBD"/>
  </w:style>
  <w:style w:type="paragraph" w:styleId="Header">
    <w:name w:val="header"/>
    <w:basedOn w:val="Normal"/>
    <w:link w:val="Head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E45DBD"/>
    <w:rPr>
      <w:rFonts w:ascii="Arial" w:eastAsia="Calibri" w:hAnsi="Arial" w:cs="Arial"/>
      <w:sz w:val="24"/>
      <w:szCs w:val="24"/>
    </w:rPr>
  </w:style>
  <w:style w:type="paragraph" w:styleId="Footer">
    <w:name w:val="footer"/>
    <w:basedOn w:val="Normal"/>
    <w:link w:val="Foot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E45DBD"/>
    <w:rPr>
      <w:rFonts w:ascii="Arial" w:eastAsia="Calibri" w:hAnsi="Arial" w:cs="Arial"/>
      <w:sz w:val="24"/>
      <w:szCs w:val="24"/>
    </w:rPr>
  </w:style>
  <w:style w:type="character" w:styleId="CommentReference">
    <w:name w:val="annotation reference"/>
    <w:basedOn w:val="DefaultParagraphFont"/>
    <w:uiPriority w:val="99"/>
    <w:semiHidden/>
    <w:unhideWhenUsed/>
    <w:rsid w:val="00E45DBD"/>
    <w:rPr>
      <w:sz w:val="16"/>
      <w:szCs w:val="16"/>
    </w:rPr>
  </w:style>
  <w:style w:type="paragraph" w:styleId="CommentText">
    <w:name w:val="annotation text"/>
    <w:basedOn w:val="Normal"/>
    <w:link w:val="CommentTextChar"/>
    <w:uiPriority w:val="99"/>
    <w:semiHidden/>
    <w:unhideWhenUsed/>
    <w:rsid w:val="00E45DB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45DBD"/>
    <w:rPr>
      <w:rFonts w:ascii="Arial" w:eastAsia="Calibri" w:hAnsi="Arial" w:cs="Arial"/>
      <w:sz w:val="20"/>
      <w:szCs w:val="20"/>
    </w:rPr>
  </w:style>
  <w:style w:type="paragraph" w:styleId="ListParagraph">
    <w:name w:val="List Paragraph"/>
    <w:basedOn w:val="Normal"/>
    <w:uiPriority w:val="34"/>
    <w:qFormat/>
    <w:rsid w:val="00E45DBD"/>
    <w:pPr>
      <w:ind w:left="720"/>
      <w:contextualSpacing/>
    </w:pPr>
  </w:style>
  <w:style w:type="paragraph" w:styleId="Revision">
    <w:name w:val="Revision"/>
    <w:hidden/>
    <w:uiPriority w:val="99"/>
    <w:semiHidden/>
    <w:rsid w:val="00161C4D"/>
    <w:pPr>
      <w:spacing w:after="0" w:line="240" w:lineRule="auto"/>
    </w:pPr>
  </w:style>
  <w:style w:type="paragraph" w:styleId="CommentSubject">
    <w:name w:val="annotation subject"/>
    <w:basedOn w:val="CommentText"/>
    <w:next w:val="CommentText"/>
    <w:link w:val="CommentSubjectChar"/>
    <w:uiPriority w:val="99"/>
    <w:semiHidden/>
    <w:unhideWhenUsed/>
    <w:rsid w:val="00161C4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C4D"/>
    <w:rPr>
      <w:rFonts w:ascii="Arial" w:eastAsia="Calibri" w:hAnsi="Arial" w:cs="Arial"/>
      <w:b/>
      <w:bCs/>
      <w:sz w:val="20"/>
      <w:szCs w:val="20"/>
    </w:rPr>
  </w:style>
  <w:style w:type="paragraph" w:styleId="BalloonText">
    <w:name w:val="Balloon Text"/>
    <w:basedOn w:val="Normal"/>
    <w:link w:val="BalloonTextChar"/>
    <w:uiPriority w:val="99"/>
    <w:semiHidden/>
    <w:unhideWhenUsed/>
    <w:rsid w:val="0093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1"/>
    <w:rPr>
      <w:rFonts w:ascii="Segoe UI" w:hAnsi="Segoe UI" w:cs="Segoe UI"/>
      <w:sz w:val="18"/>
      <w:szCs w:val="18"/>
    </w:rPr>
  </w:style>
  <w:style w:type="table" w:styleId="TableGrid">
    <w:name w:val="Table Grid"/>
    <w:basedOn w:val="TableNormal"/>
    <w:uiPriority w:val="59"/>
    <w:rsid w:val="0077682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5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5B0"/>
    <w:rPr>
      <w:sz w:val="20"/>
      <w:szCs w:val="20"/>
    </w:rPr>
  </w:style>
  <w:style w:type="character" w:styleId="FootnoteReference">
    <w:name w:val="footnote reference"/>
    <w:basedOn w:val="DefaultParagraphFont"/>
    <w:uiPriority w:val="99"/>
    <w:semiHidden/>
    <w:unhideWhenUsed/>
    <w:rsid w:val="00E855B0"/>
    <w:rPr>
      <w:vertAlign w:val="superscript"/>
    </w:rPr>
  </w:style>
  <w:style w:type="character" w:styleId="Hyperlink">
    <w:name w:val="Hyperlink"/>
    <w:basedOn w:val="DefaultParagraphFont"/>
    <w:uiPriority w:val="99"/>
    <w:semiHidden/>
    <w:unhideWhenUsed/>
    <w:rsid w:val="00E85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cionariojuridico.mx/definicion/agen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ccionariojuridico.mx/definicion/tercer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ccionariojuridico.mx/definicion/jurisdicc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F031-B303-4397-BB37-630461A7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3347</Words>
  <Characters>18412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c:creator>
  <cp:lastModifiedBy>Alejandro Arellano Arvizu</cp:lastModifiedBy>
  <cp:revision>5</cp:revision>
  <cp:lastPrinted>2024-06-26T16:58:00Z</cp:lastPrinted>
  <dcterms:created xsi:type="dcterms:W3CDTF">2024-06-26T16:05:00Z</dcterms:created>
  <dcterms:modified xsi:type="dcterms:W3CDTF">2024-07-04T20:26:00Z</dcterms:modified>
</cp:coreProperties>
</file>